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宋体"/>
          <w:b/>
          <w:bCs/>
          <w:sz w:val="84"/>
          <w:szCs w:val="84"/>
          <w:lang w:val="zh-CN"/>
        </w:rPr>
      </w:pPr>
    </w:p>
    <w:p>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pPr>
        <w:autoSpaceDE w:val="0"/>
        <w:autoSpaceDN w:val="0"/>
        <w:adjustRightInd w:val="0"/>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YSHQ2024-ZB-0104</w:t>
      </w:r>
    </w:p>
    <w:p>
      <w:pPr>
        <w:spacing w:line="700" w:lineRule="exact"/>
        <w:ind w:left="1807" w:hanging="1807" w:hangingChars="500"/>
        <w:rPr>
          <w:rFonts w:ascii="宋体" w:hAnsi="宋体" w:cs="宋体"/>
          <w:b/>
          <w:bCs/>
          <w:sz w:val="36"/>
          <w:szCs w:val="36"/>
        </w:rPr>
      </w:pPr>
      <w:r>
        <w:rPr>
          <w:rFonts w:hint="eastAsia" w:ascii="宋体" w:hAnsi="宋体" w:cs="宋体"/>
          <w:b/>
          <w:bCs/>
          <w:sz w:val="36"/>
          <w:szCs w:val="36"/>
          <w:lang w:val="zh-CN"/>
        </w:rPr>
        <w:t>项目名称：</w:t>
      </w:r>
      <w:r>
        <w:rPr>
          <w:rFonts w:hint="eastAsia" w:ascii="宋体" w:hAnsi="宋体" w:cs="宋体"/>
          <w:b/>
          <w:bCs/>
          <w:sz w:val="36"/>
          <w:szCs w:val="36"/>
        </w:rPr>
        <w:t>盐城师范学院2024年春学期食堂大宗食品原料</w:t>
      </w:r>
    </w:p>
    <w:p>
      <w:pPr>
        <w:spacing w:line="700" w:lineRule="exact"/>
        <w:ind w:firstLine="2168" w:firstLineChars="600"/>
        <w:rPr>
          <w:rFonts w:ascii="宋体" w:hAnsi="宋体" w:cs="宋体"/>
          <w:b/>
          <w:bCs/>
          <w:sz w:val="32"/>
          <w:szCs w:val="32"/>
        </w:rPr>
      </w:pPr>
      <w:r>
        <w:rPr>
          <w:rFonts w:hint="eastAsia" w:ascii="宋体" w:hAnsi="宋体" w:cs="宋体"/>
          <w:b/>
          <w:bCs/>
          <w:sz w:val="36"/>
          <w:szCs w:val="36"/>
        </w:rPr>
        <w:t>（调味品、干货、酱菜类）采购项目</w:t>
      </w:r>
    </w:p>
    <w:p>
      <w:pPr>
        <w:autoSpaceDE w:val="0"/>
        <w:autoSpaceDN w:val="0"/>
        <w:adjustRightInd w:val="0"/>
        <w:rPr>
          <w:rFonts w:ascii="宋体" w:cs="宋体"/>
          <w:b/>
          <w:bCs/>
          <w:sz w:val="32"/>
          <w:szCs w:val="32"/>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pPr>
        <w:autoSpaceDE w:val="0"/>
        <w:autoSpaceDN w:val="0"/>
        <w:adjustRightInd w:val="0"/>
        <w:spacing w:line="700" w:lineRule="exact"/>
        <w:jc w:val="center"/>
        <w:rPr>
          <w:rFonts w:hint="eastAsia" w:ascii="宋体" w:hAnsi="宋体" w:cs="黑体"/>
          <w:b/>
          <w:sz w:val="36"/>
          <w:szCs w:val="36"/>
          <w:lang w:val="zh-CN"/>
        </w:rPr>
      </w:pPr>
      <w:r>
        <w:rPr>
          <w:rFonts w:hint="eastAsia" w:ascii="宋体" w:hAnsi="宋体" w:cs="黑体"/>
          <w:b/>
          <w:sz w:val="36"/>
          <w:szCs w:val="36"/>
          <w:lang w:val="zh-CN"/>
        </w:rPr>
        <w:t xml:space="preserve"> 2024年1月</w:t>
      </w:r>
      <w:r>
        <w:rPr>
          <w:rFonts w:hint="eastAsia" w:ascii="宋体" w:hAnsi="宋体" w:cs="黑体"/>
          <w:b/>
          <w:sz w:val="36"/>
          <w:szCs w:val="36"/>
          <w:lang w:val="en-US" w:eastAsia="zh-CN"/>
        </w:rPr>
        <w:t>9</w:t>
      </w:r>
      <w:r>
        <w:rPr>
          <w:rFonts w:hint="eastAsia" w:ascii="宋体" w:hAnsi="宋体" w:cs="黑体"/>
          <w:b/>
          <w:sz w:val="36"/>
          <w:szCs w:val="36"/>
          <w:lang w:val="zh-CN"/>
        </w:rPr>
        <w:t>日</w:t>
      </w:r>
    </w:p>
    <w:p>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24</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26</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28</w:t>
      </w:r>
      <w:r>
        <w:rPr>
          <w:rFonts w:ascii="宋体" w:hAnsi="宋体"/>
          <w:b/>
          <w:sz w:val="30"/>
          <w:szCs w:val="30"/>
        </w:rPr>
        <w:fldChar w:fldCharType="end"/>
      </w:r>
      <w:r>
        <w:rPr>
          <w:rFonts w:ascii="宋体" w:hAnsi="宋体"/>
          <w:b/>
          <w:sz w:val="30"/>
          <w:szCs w:val="30"/>
        </w:rPr>
        <w:fldChar w:fldCharType="end"/>
      </w:r>
    </w:p>
    <w:p>
      <w:pPr>
        <w:spacing w:line="800" w:lineRule="exact"/>
        <w:rPr>
          <w:rFonts w:ascii="宋体" w:hAnsi="宋体"/>
          <w:sz w:val="44"/>
          <w:szCs w:val="44"/>
        </w:rPr>
      </w:pPr>
      <w:r>
        <w:rPr>
          <w:rFonts w:ascii="宋体" w:hAnsi="宋体"/>
          <w:sz w:val="30"/>
          <w:szCs w:val="30"/>
        </w:rPr>
        <w:fldChar w:fldCharType="end"/>
      </w:r>
    </w:p>
    <w:p>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pPr>
              <w:spacing w:line="480" w:lineRule="exact"/>
              <w:jc w:val="left"/>
              <w:rPr>
                <w:rFonts w:ascii="宋体" w:hAnsi="宋体" w:cs="宋体"/>
                <w:kern w:val="0"/>
                <w:sz w:val="24"/>
              </w:rPr>
            </w:pPr>
            <w:r>
              <w:rPr>
                <w:rFonts w:hint="eastAsia" w:ascii="宋体" w:hAnsi="宋体" w:cs="宋体"/>
                <w:kern w:val="0"/>
                <w:sz w:val="24"/>
              </w:rPr>
              <w:t>项目概况</w:t>
            </w:r>
          </w:p>
          <w:p>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盐城师范学院2024年春学期食堂大宗食品原料（调味品、干货、酱菜类）采购项目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2024年1月30日上午9点00分（北京时间）</w:t>
            </w:r>
            <w:r>
              <w:rPr>
                <w:rFonts w:hint="eastAsia" w:ascii="宋体" w:hAnsi="宋体" w:cs="宋体"/>
                <w:kern w:val="0"/>
                <w:sz w:val="24"/>
              </w:rPr>
              <w:t>前递交投标文件。</w:t>
            </w:r>
          </w:p>
        </w:tc>
      </w:tr>
    </w:tbl>
    <w:p>
      <w:pPr>
        <w:spacing w:line="480" w:lineRule="exact"/>
        <w:ind w:firstLine="482" w:firstLineChars="200"/>
        <w:rPr>
          <w:rFonts w:ascii="宋体" w:hAnsi="宋体" w:cs="宋体"/>
          <w:b/>
          <w:kern w:val="0"/>
          <w:sz w:val="24"/>
          <w:szCs w:val="24"/>
        </w:rPr>
      </w:pP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pPr>
        <w:autoSpaceDE w:val="0"/>
        <w:autoSpaceDN w:val="0"/>
        <w:spacing w:line="48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YSHQ2024-ZB-0104 ；</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盐城师范学院2024年春学期食堂大宗食品原料（调味品、干货、酱菜类）采购项目 </w:t>
      </w:r>
      <w:r>
        <w:rPr>
          <w:rFonts w:hint="eastAsia" w:ascii="宋体" w:hAnsi="宋体" w:cs="Dotum"/>
          <w:kern w:val="0"/>
          <w:sz w:val="24"/>
          <w:szCs w:val="24"/>
        </w:rPr>
        <w:t>；</w:t>
      </w:r>
    </w:p>
    <w:p>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2024年2月20日至2024年8月25日；</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5.本项目不接受进口产品参与投标。</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pPr>
        <w:spacing w:line="480" w:lineRule="exact"/>
        <w:ind w:firstLine="480" w:firstLineChars="200"/>
        <w:rPr>
          <w:rFonts w:ascii="宋体" w:hAnsi="宋体"/>
          <w:bCs/>
          <w:sz w:val="24"/>
          <w:szCs w:val="24"/>
        </w:rPr>
      </w:pPr>
      <w:r>
        <w:rPr>
          <w:rFonts w:hint="eastAsia" w:ascii="宋体" w:hAnsi="宋体"/>
          <w:bCs/>
          <w:sz w:val="24"/>
          <w:szCs w:val="24"/>
        </w:rPr>
        <w:t>（2）提供与本项目经营范围相符合的食品经营许可证复印件。</w:t>
      </w:r>
    </w:p>
    <w:p>
      <w:pPr>
        <w:spacing w:line="480" w:lineRule="exact"/>
        <w:ind w:firstLine="480" w:firstLineChars="200"/>
        <w:rPr>
          <w:rFonts w:ascii="宋体" w:hAnsi="宋体"/>
          <w:bCs/>
          <w:sz w:val="24"/>
          <w:szCs w:val="24"/>
        </w:rPr>
      </w:pPr>
      <w:r>
        <w:rPr>
          <w:rFonts w:hint="eastAsia" w:ascii="宋体" w:hAnsi="宋体"/>
          <w:bCs/>
          <w:sz w:val="24"/>
          <w:szCs w:val="24"/>
        </w:rPr>
        <w:t>（3）未被“信用中国”网站（www.creditchina.gov.cn）列入失信被执行人、重大税收违法案件当事人名单、政府采购严重失信行为记录名单。</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：2024年1月30日上午8：30-9：00</w:t>
      </w:r>
      <w:r>
        <w:rPr>
          <w:rFonts w:hint="eastAsia" w:ascii="宋体" w:hAnsi="宋体" w:cs="宋体"/>
          <w:kern w:val="0"/>
          <w:sz w:val="24"/>
          <w:szCs w:val="24"/>
          <w:u w:val="single"/>
        </w:rPr>
        <w:t>；盐城师范学院新长校区后勤综合楼二楼会议室。</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2.开标时间和地点：</w:t>
      </w:r>
      <w:r>
        <w:rPr>
          <w:rFonts w:hint="eastAsia" w:ascii="宋体" w:hAnsi="宋体" w:cs="宋体"/>
          <w:kern w:val="0"/>
          <w:sz w:val="24"/>
          <w:szCs w:val="24"/>
          <w:u w:val="single"/>
        </w:rPr>
        <w:t>2024年1月30日上午9：00</w:t>
      </w:r>
      <w:r>
        <w:rPr>
          <w:rFonts w:hint="eastAsia" w:ascii="宋体" w:hAnsi="宋体" w:cs="宋体"/>
          <w:kern w:val="0"/>
          <w:sz w:val="24"/>
          <w:szCs w:val="24"/>
          <w:u w:val="single"/>
        </w:rPr>
        <w:t>；盐城师范学院新长校区后勤综合楼三楼招标会议室。</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bookmarkStart w:id="41" w:name="_GoBack"/>
      <w:bookmarkEnd w:id="41"/>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pPr>
        <w:spacing w:line="480" w:lineRule="exact"/>
        <w:ind w:firstLine="480" w:firstLineChars="200"/>
        <w:rPr>
          <w:rFonts w:ascii="宋体" w:hAnsi="宋体" w:cs="宋体"/>
          <w:kern w:val="0"/>
          <w:sz w:val="24"/>
          <w:szCs w:val="24"/>
        </w:rPr>
      </w:pPr>
      <w:bookmarkStart w:id="1" w:name="_Toc35393627"/>
      <w:bookmarkStart w:id="2" w:name="_Toc28359085"/>
      <w:bookmarkStart w:id="3" w:name="_Toc35393796"/>
      <w:bookmarkStart w:id="4" w:name="_Toc28359008"/>
      <w:r>
        <w:rPr>
          <w:rFonts w:hint="eastAsia" w:ascii="宋体" w:hAnsi="宋体" w:cs="宋体"/>
          <w:kern w:val="0"/>
          <w:sz w:val="24"/>
          <w:szCs w:val="24"/>
        </w:rPr>
        <w:t>本项目不收取投标保证金。</w:t>
      </w:r>
    </w:p>
    <w:p>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郑老师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bCs/>
          <w:kern w:val="0"/>
          <w:sz w:val="24"/>
          <w:szCs w:val="24"/>
          <w:u w:val="single"/>
        </w:rPr>
        <w:t>13805102273</w:t>
      </w:r>
      <w:r>
        <w:rPr>
          <w:rFonts w:hint="eastAsia" w:ascii="宋体" w:hAnsi="宋体" w:cs="宋体"/>
          <w:kern w:val="0"/>
          <w:sz w:val="24"/>
          <w:szCs w:val="24"/>
          <w:u w:val="single"/>
        </w:rPr>
        <w:t xml:space="preserve">  </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潘老师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18752220058</w:t>
      </w:r>
      <w:r>
        <w:rPr>
          <w:rFonts w:hint="eastAsia" w:ascii="宋体" w:hAnsi="宋体" w:cs="Dotum"/>
          <w:kern w:val="0"/>
          <w:sz w:val="24"/>
          <w:szCs w:val="24"/>
          <w:u w:val="single"/>
        </w:rPr>
        <w:t xml:space="preserve">  </w:t>
      </w:r>
    </w:p>
    <w:p>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相关工作人员处进行信息实名登记，进入校园后须全程佩戴口罩。</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pPr>
        <w:spacing w:line="480" w:lineRule="exact"/>
        <w:ind w:firstLine="480" w:firstLineChars="200"/>
        <w:rPr>
          <w:rFonts w:ascii="宋体" w:hAnsi="宋体" w:cs="宋体"/>
          <w:kern w:val="0"/>
          <w:sz w:val="24"/>
          <w:szCs w:val="24"/>
        </w:rPr>
      </w:pPr>
    </w:p>
    <w:p>
      <w:pPr>
        <w:spacing w:line="480" w:lineRule="exact"/>
        <w:ind w:firstLine="480" w:firstLineChars="200"/>
        <w:rPr>
          <w:rFonts w:ascii="宋体" w:hAnsi="宋体" w:cs="宋体"/>
          <w:kern w:val="0"/>
          <w:sz w:val="24"/>
          <w:szCs w:val="24"/>
        </w:rPr>
      </w:pPr>
    </w:p>
    <w:p>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pPr>
        <w:spacing w:line="480" w:lineRule="exact"/>
        <w:ind w:firstLine="5520" w:firstLineChars="2300"/>
        <w:rPr>
          <w:rStyle w:val="37"/>
          <w:rFonts w:ascii="宋体" w:hAnsi="宋体"/>
          <w:sz w:val="24"/>
        </w:rPr>
      </w:pPr>
      <w:r>
        <w:rPr>
          <w:rStyle w:val="37"/>
          <w:rFonts w:hint="eastAsia" w:ascii="宋体" w:hAnsi="宋体"/>
          <w:sz w:val="24"/>
        </w:rPr>
        <w:t>2024年1月</w:t>
      </w:r>
      <w:r>
        <w:rPr>
          <w:rStyle w:val="37"/>
          <w:rFonts w:hint="eastAsia" w:ascii="宋体" w:hAnsi="宋体"/>
          <w:sz w:val="24"/>
          <w:lang w:val="en-US" w:eastAsia="zh-CN"/>
        </w:rPr>
        <w:t>9</w:t>
      </w:r>
      <w:r>
        <w:rPr>
          <w:rStyle w:val="37"/>
          <w:rFonts w:hint="eastAsia" w:ascii="宋体" w:hAnsi="宋体"/>
          <w:sz w:val="24"/>
        </w:rPr>
        <w:t>日</w:t>
      </w:r>
    </w:p>
    <w:p>
      <w:pPr>
        <w:spacing w:line="460" w:lineRule="exact"/>
        <w:ind w:firstLine="480" w:firstLineChars="200"/>
        <w:rPr>
          <w:rFonts w:ascii="宋体" w:hAnsi="宋体"/>
          <w:sz w:val="24"/>
          <w:szCs w:val="24"/>
        </w:rPr>
      </w:pPr>
    </w:p>
    <w:p>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pPr>
        <w:autoSpaceDE w:val="0"/>
        <w:autoSpaceDN w:val="0"/>
        <w:adjustRightInd w:val="0"/>
        <w:spacing w:line="440" w:lineRule="exact"/>
        <w:rPr>
          <w:rFonts w:ascii="宋体" w:cs="宋体"/>
          <w:b/>
          <w:bCs/>
          <w:color w:val="FF0000"/>
          <w:sz w:val="32"/>
          <w:szCs w:val="32"/>
          <w:lang w:val="zh-CN"/>
        </w:rPr>
      </w:pPr>
    </w:p>
    <w:p>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招标报价采用总承包方式，投标人的报价应包括所投产品费用、采购、储存、分装、运输、配送、检验、售后服务、管理费、利润、税金及其他为完成本合同服务所发生的一切费用，招标文件中另有规定的除外。</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pPr>
        <w:pageBreakBefore/>
        <w:spacing w:line="700" w:lineRule="exact"/>
        <w:jc w:val="center"/>
        <w:outlineLvl w:val="0"/>
        <w:rPr>
          <w:rFonts w:ascii="宋体" w:hAnsi="宋体"/>
          <w:b/>
          <w:color w:val="000000"/>
          <w:sz w:val="44"/>
          <w:szCs w:val="44"/>
        </w:rPr>
      </w:pPr>
      <w:bookmarkStart w:id="29" w:name="_Toc155527169"/>
      <w:bookmarkStart w:id="30" w:name="_Toc47629327"/>
      <w:bookmarkStart w:id="31" w:name="_Toc47629959"/>
      <w:r>
        <w:rPr>
          <w:rFonts w:hint="eastAsia" w:ascii="宋体" w:hAnsi="宋体"/>
          <w:b/>
          <w:color w:val="000000"/>
          <w:sz w:val="44"/>
          <w:szCs w:val="44"/>
        </w:rPr>
        <w:t>第三章  合同条款及格式</w:t>
      </w:r>
      <w:bookmarkEnd w:id="29"/>
      <w:bookmarkEnd w:id="30"/>
      <w:bookmarkEnd w:id="31"/>
    </w:p>
    <w:p>
      <w:pPr>
        <w:spacing w:line="520" w:lineRule="exact"/>
        <w:jc w:val="center"/>
        <w:rPr>
          <w:rFonts w:ascii="宋体" w:hAnsi="宋体" w:cs="宋体"/>
          <w:b/>
          <w:sz w:val="36"/>
          <w:szCs w:val="36"/>
        </w:rPr>
      </w:pPr>
      <w:r>
        <w:rPr>
          <w:rFonts w:hint="eastAsia" w:ascii="宋体" w:hAnsi="宋体" w:cs="宋体"/>
          <w:b/>
          <w:sz w:val="36"/>
          <w:szCs w:val="36"/>
        </w:rPr>
        <w:t>供货合同</w:t>
      </w:r>
    </w:p>
    <w:p>
      <w:pPr>
        <w:spacing w:line="480" w:lineRule="exact"/>
        <w:rPr>
          <w:rFonts w:ascii="宋体" w:hAnsi="宋体" w:cs="宋体"/>
          <w:sz w:val="24"/>
          <w:szCs w:val="24"/>
        </w:rPr>
      </w:pPr>
      <w:r>
        <w:rPr>
          <w:rFonts w:hint="eastAsia" w:ascii="宋体" w:hAnsi="宋体" w:cs="宋体"/>
          <w:sz w:val="24"/>
          <w:szCs w:val="24"/>
        </w:rPr>
        <w:t>甲方：盐城师范学院</w:t>
      </w:r>
    </w:p>
    <w:p>
      <w:pPr>
        <w:spacing w:line="480" w:lineRule="exact"/>
        <w:rPr>
          <w:rFonts w:ascii="宋体" w:hAnsi="宋体" w:cs="宋体"/>
          <w:sz w:val="24"/>
          <w:szCs w:val="24"/>
        </w:rPr>
      </w:pPr>
      <w:r>
        <w:rPr>
          <w:rFonts w:hint="eastAsia" w:ascii="宋体" w:hAnsi="宋体" w:cs="宋体"/>
          <w:sz w:val="24"/>
          <w:szCs w:val="24"/>
        </w:rPr>
        <w:t xml:space="preserve">乙方： </w:t>
      </w:r>
    </w:p>
    <w:p>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甲乙双方根据盐城师范学院2024年春学期食堂大宗食品原料（调味品、干货、酱菜类）采购项目公开招标的结果，签署本合同。</w:t>
      </w:r>
    </w:p>
    <w:p>
      <w:pPr>
        <w:spacing w:line="480" w:lineRule="exact"/>
        <w:ind w:firstLine="480" w:firstLineChars="200"/>
        <w:rPr>
          <w:rFonts w:ascii="宋体" w:hAnsi="宋体" w:cs="宋体"/>
          <w:sz w:val="24"/>
          <w:szCs w:val="24"/>
        </w:rPr>
      </w:pPr>
      <w:r>
        <w:rPr>
          <w:rFonts w:hint="eastAsia" w:ascii="宋体" w:hAnsi="宋体" w:cs="宋体"/>
          <w:sz w:val="24"/>
          <w:szCs w:val="24"/>
        </w:rPr>
        <w:t>一、货物名称：调味品、干货、酱菜类</w:t>
      </w:r>
    </w:p>
    <w:p>
      <w:pPr>
        <w:spacing w:line="480" w:lineRule="exact"/>
        <w:ind w:firstLine="480" w:firstLineChars="200"/>
        <w:rPr>
          <w:rFonts w:ascii="宋体" w:hAnsi="宋体" w:cs="宋体"/>
          <w:sz w:val="24"/>
          <w:szCs w:val="24"/>
        </w:rPr>
      </w:pPr>
      <w:r>
        <w:rPr>
          <w:rFonts w:hint="eastAsia" w:ascii="宋体" w:hAnsi="宋体" w:cs="宋体"/>
          <w:sz w:val="24"/>
          <w:szCs w:val="24"/>
        </w:rPr>
        <w:t>二、合同期限：2024年2月20日至2024年8月25日。</w:t>
      </w:r>
    </w:p>
    <w:p>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调味品、干货、酱菜类质量符合国家相关产品质量标准，符合国家各级强制性规范的要求，且配送的货物质量不得低于投标时提供的样品质量标准。</w:t>
      </w:r>
    </w:p>
    <w:p>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pPr>
        <w:spacing w:line="480" w:lineRule="exact"/>
        <w:ind w:firstLine="480" w:firstLineChars="200"/>
        <w:rPr>
          <w:rFonts w:ascii="宋体" w:hAnsi="宋体" w:cs="宋体"/>
          <w:b/>
          <w:color w:val="000000"/>
          <w:kern w:val="0"/>
          <w:sz w:val="24"/>
          <w:szCs w:val="24"/>
        </w:rPr>
      </w:pPr>
      <w:r>
        <w:rPr>
          <w:rFonts w:hint="eastAsia" w:ascii="宋体" w:hAnsi="宋体" w:cs="宋体"/>
          <w:sz w:val="24"/>
          <w:szCs w:val="24"/>
        </w:rPr>
        <w:t>四</w:t>
      </w:r>
      <w:r>
        <w:rPr>
          <w:rFonts w:hint="eastAsia" w:ascii="宋体" w:hAnsi="宋体" w:cs="宋体"/>
          <w:kern w:val="0"/>
          <w:sz w:val="24"/>
          <w:szCs w:val="24"/>
        </w:rPr>
        <w:t>、履约保证金：履约保证金共计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pPr>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rPr>
        <w:t xml:space="preserve"> </w:t>
      </w:r>
      <w:r>
        <w:rPr>
          <w:rFonts w:hint="eastAsia" w:ascii="宋体" w:hAnsi="宋体" w:cs="宋体"/>
          <w:sz w:val="24"/>
          <w:szCs w:val="24"/>
        </w:rPr>
        <w:t>乙方把指定货物送至甲方各食堂所在楼层，通榆校区食堂：南园一楼、北园一楼、北园二楼、北园三楼；新长校区食堂：沁园一楼、沁园二楼、沁园三楼、萃园一楼、萃园二楼、萃园三楼。送货时间：定货次日送达。</w:t>
      </w:r>
    </w:p>
    <w:p>
      <w:pPr>
        <w:spacing w:line="480" w:lineRule="exact"/>
        <w:ind w:firstLine="480" w:firstLineChars="200"/>
        <w:rPr>
          <w:rFonts w:ascii="宋体" w:hAnsi="宋体" w:cs="宋体"/>
          <w:sz w:val="24"/>
          <w:szCs w:val="24"/>
        </w:rPr>
      </w:pPr>
      <w:r>
        <w:rPr>
          <w:rFonts w:hint="eastAsia" w:ascii="宋体" w:hAnsi="宋体" w:cs="宋体"/>
          <w:sz w:val="24"/>
          <w:szCs w:val="24"/>
        </w:rPr>
        <w:t>2.货物配送费用由乙方自行承担。</w:t>
      </w:r>
    </w:p>
    <w:p>
      <w:pPr>
        <w:spacing w:line="480" w:lineRule="exact"/>
        <w:ind w:firstLine="480" w:firstLineChars="200"/>
        <w:rPr>
          <w:rFonts w:ascii="宋体" w:hAnsi="宋体" w:cs="宋体"/>
          <w:sz w:val="24"/>
          <w:szCs w:val="24"/>
        </w:rPr>
      </w:pPr>
      <w:r>
        <w:rPr>
          <w:rFonts w:hint="eastAsia" w:ascii="宋体" w:hAnsi="宋体" w:cs="宋体"/>
          <w:sz w:val="24"/>
          <w:szCs w:val="24"/>
        </w:rPr>
        <w:t>3.原包装产品交付时必须保证相关标识等各方面完好无损，否则甲方有权拒收。</w:t>
      </w:r>
    </w:p>
    <w:p>
      <w:pPr>
        <w:spacing w:line="480" w:lineRule="exact"/>
        <w:ind w:firstLine="480" w:firstLineChars="200"/>
        <w:rPr>
          <w:rFonts w:ascii="宋体" w:hAnsi="宋体" w:cs="宋体"/>
          <w:sz w:val="24"/>
          <w:szCs w:val="24"/>
        </w:rPr>
      </w:pPr>
      <w:r>
        <w:rPr>
          <w:rFonts w:hint="eastAsia" w:ascii="宋体" w:hAnsi="宋体" w:cs="宋体"/>
          <w:sz w:val="24"/>
          <w:szCs w:val="24"/>
        </w:rPr>
        <w:t>4.乙方运输工具进入学校，必须接受学校的统一管理，发生任何人员与设施损伤，均由乙方承担责任。</w:t>
      </w:r>
    </w:p>
    <w:p>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乙方每批次提供的货物需提供检验报告或其他证明，且必须经甲方采供中心、餐饮服务中心验收人员验收合格并签单后才能视为有效，否则均视为无效供货。</w:t>
      </w:r>
    </w:p>
    <w:p>
      <w:pPr>
        <w:spacing w:line="480" w:lineRule="exact"/>
        <w:ind w:firstLine="480" w:firstLineChars="200"/>
        <w:rPr>
          <w:rFonts w:cs="宋体"/>
          <w:color w:val="000000"/>
          <w:kern w:val="0"/>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r>
        <w:rPr>
          <w:rFonts w:cs="宋体"/>
          <w:color w:val="000000"/>
          <w:kern w:val="0"/>
          <w:sz w:val="24"/>
          <w:szCs w:val="24"/>
        </w:rPr>
        <w:br w:type="page"/>
      </w:r>
    </w:p>
    <w:tbl>
      <w:tblPr>
        <w:tblStyle w:val="15"/>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473"/>
        <w:gridCol w:w="1819"/>
        <w:gridCol w:w="2307"/>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序号</w:t>
            </w:r>
          </w:p>
        </w:tc>
        <w:tc>
          <w:tcPr>
            <w:tcW w:w="2473" w:type="dxa"/>
            <w:vAlign w:val="center"/>
          </w:tcPr>
          <w:p>
            <w:pPr>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名称</w:t>
            </w:r>
          </w:p>
        </w:tc>
        <w:tc>
          <w:tcPr>
            <w:tcW w:w="1819"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品牌</w:t>
            </w:r>
          </w:p>
        </w:tc>
        <w:tc>
          <w:tcPr>
            <w:tcW w:w="2307"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商品规格</w:t>
            </w:r>
          </w:p>
        </w:tc>
        <w:tc>
          <w:tcPr>
            <w:tcW w:w="1644" w:type="dxa"/>
            <w:vAlign w:val="center"/>
          </w:tcPr>
          <w:p>
            <w:pPr>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单价（元/斤）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绵白糖</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甘福源</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50kg/袋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砂糖</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广东</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50kg/袋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豆瓣酱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川妞</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6kg/箱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豆豉酱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老干妈</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280g*24瓶/箱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黄豆酱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6kg*2桶/箱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香辣酱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天车</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350g*24瓶/箱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甜面酱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天车</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500g*12瓶/箱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麻辣鲜</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王守义</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46g*110袋/箱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海鲜酱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7kg*2桶/箱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番茄酱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风球唛</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850g*12听/箱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清真番茄酱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西部红</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3kg*6听/箱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纯芝麻油</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燕庄</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398ml*12瓶/箱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蒸鱼豉油</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中蓝</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1.9L*6壶/箱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蚝油</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6kg*2桶/箱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食盐</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淮牌</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400g*50袋/箱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味精</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滕花</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25kg/袋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鸡精</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桃源乐</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900g*10袋/箱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清真鸡精</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桃源乐</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900g*10袋/箱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南乳汁</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鼎丰</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560ml*12瓶/箱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火锅底料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百信</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150g*60袋/箱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三五底料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三五</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150g*60袋/箱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排骨汤料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桃源乐</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908g*10袋/箱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胡椒粉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亚洁</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花椒（好）</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无籽无盐辣椒段</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1000g/袋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辣椒粉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粗椒粉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细椒粉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五香粉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十三香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王守义</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45g*100盒/箱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孜然粉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桂皮</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八角</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白芷</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咖喱粉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剁椒</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湘妹</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2kg*6桶/箱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香醋（袋）</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恒顺</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340ml*30袋/箱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香醋（瓶）</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恒顺</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550ml*12瓶/箱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白醋</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镇江金焦</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500ml*12瓶/箱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海天老抽</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1.9L*6壶/箱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生抽</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1.9L*6壶/箱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老抽</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味美家</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2.5L*6壶/箱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料酒</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味美家</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5L*4壶/箱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酵母</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喜福来</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500g*20只/箱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泡打粉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钻星</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500g*20袋/箱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小苏打</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山花</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150g*100袋/箱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炒饭香料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面包糠</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前黄</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750g*10袋/箱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特味浓奥尔良腌制料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特味浓</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1kg*20袋/箱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黄焖鸡酱料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新青大</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3kg/桶</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食用碱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山花</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150g*100袋/箱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淀粉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恒仁</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25kg/袋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泰式甜辣酱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德生</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655g*12瓶/箱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米醋</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双鱼</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250ml*40袋/箱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红曲米</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干灯笼椒</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重庆小面</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新青大</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方便面</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双宇</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2.8kg/箱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无核红枣</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红枣</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10kg/箱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葡萄干</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梅干菜</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慈晟</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干香菇</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林彦达</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干木耳</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林彦达</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银耳</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林彦达</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肉松</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益鹏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2.5kg*6袋/箱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红油片</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杨荣</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榨菜丝</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老彭</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酸菜</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四阿哥</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鱼酸菜</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三极禾</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雪菜</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杨天</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多味雪菜</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杨荣</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8.5kg/箱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菜脯王</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永超</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4.5kg/箱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小米辣</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阿倩嫂</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2kg*6袋/箱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泡豇豆</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四阿哥</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76</w:t>
            </w:r>
          </w:p>
        </w:tc>
        <w:tc>
          <w:tcPr>
            <w:tcW w:w="2473" w:type="dxa"/>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米线</w:t>
            </w:r>
          </w:p>
        </w:tc>
        <w:tc>
          <w:tcPr>
            <w:tcW w:w="1819" w:type="dxa"/>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王仁和</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25㎏/袋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77</w:t>
            </w:r>
          </w:p>
        </w:tc>
        <w:tc>
          <w:tcPr>
            <w:tcW w:w="2473" w:type="dxa"/>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粉丝</w:t>
            </w:r>
          </w:p>
        </w:tc>
        <w:tc>
          <w:tcPr>
            <w:tcW w:w="1819" w:type="dxa"/>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柳絮</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5㎏/袋</w:t>
            </w:r>
          </w:p>
        </w:tc>
        <w:tc>
          <w:tcPr>
            <w:tcW w:w="1644" w:type="dxa"/>
            <w:vAlign w:val="center"/>
          </w:tcPr>
          <w:p>
            <w:pPr>
              <w:jc w:val="center"/>
              <w:rPr>
                <w:rFonts w:cs="宋体" w:asciiTheme="minorEastAsia" w:hAnsiTheme="minorEastAsia" w:eastAsiaTheme="minorEastAsia"/>
                <w:color w:val="000000"/>
                <w:szCs w:val="21"/>
              </w:rPr>
            </w:pPr>
          </w:p>
        </w:tc>
      </w:tr>
    </w:tbl>
    <w:p>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pPr>
        <w:spacing w:line="480" w:lineRule="exact"/>
        <w:ind w:firstLine="480" w:firstLineChars="200"/>
        <w:rPr>
          <w:rFonts w:ascii="宋体" w:hAnsi="宋体" w:cs="宋体"/>
          <w:sz w:val="24"/>
          <w:szCs w:val="24"/>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p>
    <w:p>
      <w:pPr>
        <w:spacing w:line="480" w:lineRule="exact"/>
        <w:ind w:firstLine="480" w:firstLineChars="200"/>
        <w:rPr>
          <w:rFonts w:ascii="宋体" w:hAnsi="宋体" w:cs="宋体"/>
          <w:sz w:val="24"/>
          <w:szCs w:val="24"/>
        </w:rPr>
      </w:pPr>
      <w:r>
        <w:rPr>
          <w:rFonts w:hint="eastAsia" w:ascii="宋体" w:hAnsi="宋体" w:cs="宋体"/>
          <w:sz w:val="24"/>
          <w:szCs w:val="24"/>
        </w:rPr>
        <w:t>九、违约责任</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1.乙方供应以下存在安全卫生隐患的货品，除全部退货外，将取消乙方的供货资格，扣收乙方全部履约保证金，乙方同时承担由此造成的经济责任和法律责任。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（1）腐败变质、油脂酸败、霉变、生虫、污秽不洁、混有异物或者其他感官性状异常，对人体健康有害的；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（2）含有毒、有害物质或者被有害物质污染，对人体健康有害的；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（3）含有致病性寄生虫、微生物或者微生物含量超过国家限定标准的；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（4）掺假、掺杂、伪造，影响营养、卫生的； </w:t>
      </w:r>
    </w:p>
    <w:p>
      <w:pPr>
        <w:spacing w:line="480" w:lineRule="exact"/>
        <w:ind w:firstLine="480" w:firstLineChars="200"/>
        <w:rPr>
          <w:rFonts w:ascii="宋体" w:hAnsi="宋体" w:cs="宋体"/>
          <w:sz w:val="24"/>
          <w:szCs w:val="24"/>
        </w:rPr>
      </w:pPr>
      <w:r>
        <w:rPr>
          <w:rFonts w:hint="eastAsia" w:ascii="宋体" w:hAnsi="宋体" w:cs="宋体"/>
          <w:sz w:val="24"/>
          <w:szCs w:val="24"/>
        </w:rPr>
        <w:t>（5）供应货物故意串规、定量包装批量误差超过相关规定的；</w:t>
      </w:r>
    </w:p>
    <w:p>
      <w:pPr>
        <w:spacing w:line="480" w:lineRule="exact"/>
        <w:ind w:firstLine="480" w:firstLineChars="200"/>
        <w:rPr>
          <w:rFonts w:ascii="宋体" w:hAnsi="宋体" w:cs="宋体"/>
          <w:sz w:val="24"/>
          <w:szCs w:val="24"/>
        </w:rPr>
      </w:pPr>
      <w:r>
        <w:rPr>
          <w:rFonts w:hint="eastAsia" w:ascii="宋体" w:hAnsi="宋体" w:cs="宋体"/>
          <w:sz w:val="24"/>
          <w:szCs w:val="24"/>
        </w:rPr>
        <w:t>（6）超过保质期限的。</w:t>
      </w:r>
    </w:p>
    <w:p>
      <w:pPr>
        <w:spacing w:line="480" w:lineRule="exact"/>
        <w:ind w:firstLine="480" w:firstLineChars="200"/>
        <w:rPr>
          <w:rFonts w:ascii="宋体" w:hAnsi="宋体" w:cs="宋体"/>
          <w:sz w:val="24"/>
          <w:szCs w:val="24"/>
        </w:rPr>
      </w:pPr>
      <w:r>
        <w:rPr>
          <w:rFonts w:hint="eastAsia" w:ascii="宋体" w:hAnsi="宋体" w:cs="宋体"/>
          <w:sz w:val="24"/>
          <w:szCs w:val="24"/>
        </w:rPr>
        <w:t>2.乙方应严格按招标文件规定的质量标准和投标时提供的样品质量标准进行供货。甲方将退回不达标货物,并扣收履约保证金200—2000元/次, 出现以上质量问题3次的，甲方有权单方面终止合同。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3.乙方必须严格按甲方规定的时间、数量送货到指定地点，否则，视其违约。此违约行为每发生一次，甲方将视违约情况分别处理：时间或地点违约的，扣收履约保证金200—1000元/次；送货明显超过订货数量的，甲方有权拒收；低于订货数量的，甲方有权扣收履约保证金200—1000元/次。如由于送货时间、数量违约，造成甲方食堂生产延误影响师生伙食供应的，甲方有权单方面终止合同，并扣收乙方全部履约保证金。</w:t>
      </w:r>
    </w:p>
    <w:p>
      <w:pPr>
        <w:spacing w:line="480" w:lineRule="exact"/>
        <w:ind w:firstLine="480" w:firstLineChars="200"/>
        <w:rPr>
          <w:rFonts w:ascii="宋体" w:hAnsi="宋体" w:cs="宋体"/>
          <w:sz w:val="24"/>
          <w:szCs w:val="24"/>
        </w:rPr>
      </w:pPr>
      <w:r>
        <w:rPr>
          <w:rFonts w:hint="eastAsia" w:ascii="宋体" w:hAnsi="宋体" w:cs="宋体"/>
          <w:sz w:val="24"/>
          <w:szCs w:val="24"/>
        </w:rPr>
        <w:t>4.乙方不得中途随意退出供货，或者因市场货源紧缺、价格上涨等原因造成供货不足或时间违约的，甲方将扣除乙方全部履约保证金，同时有权单方面终止合同。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5.如因乙方的供货质量问题引起食物中毒或食源性疾病的发生，乙方承担由此引起的一切法律责任和全部经济损失。甲方除立即单方终止合同，扣除乙方全部履约保证金，还将暂扣当月所有供应原料的货款作为乙方的赔偿预付款。</w:t>
      </w:r>
    </w:p>
    <w:p>
      <w:pPr>
        <w:spacing w:line="480" w:lineRule="exact"/>
        <w:ind w:firstLine="480" w:firstLineChars="200"/>
        <w:rPr>
          <w:rFonts w:ascii="宋体" w:hAnsi="宋体" w:cs="宋体"/>
          <w:sz w:val="24"/>
          <w:szCs w:val="24"/>
        </w:rPr>
      </w:pPr>
      <w:r>
        <w:rPr>
          <w:rFonts w:hint="eastAsia" w:ascii="宋体" w:hAnsi="宋体" w:cs="宋体"/>
          <w:sz w:val="24"/>
          <w:szCs w:val="24"/>
        </w:rPr>
        <w:t>6.甲方无故验收延时且不能得到乙方谅解的，甲方应全额承担验货延时给乙方造成的误工损失。</w:t>
      </w:r>
    </w:p>
    <w:p>
      <w:pPr>
        <w:spacing w:line="480" w:lineRule="exact"/>
        <w:ind w:firstLine="480" w:firstLineChars="200"/>
        <w:rPr>
          <w:rFonts w:ascii="宋体" w:hAnsi="宋体" w:cs="宋体"/>
          <w:sz w:val="24"/>
          <w:szCs w:val="24"/>
        </w:rPr>
      </w:pPr>
      <w:r>
        <w:rPr>
          <w:rFonts w:hint="eastAsia" w:ascii="宋体" w:hAnsi="宋体" w:cs="宋体"/>
          <w:sz w:val="24"/>
          <w:szCs w:val="24"/>
        </w:rPr>
        <w:t>十、免除责任条款</w:t>
      </w:r>
    </w:p>
    <w:p>
      <w:pPr>
        <w:spacing w:line="480" w:lineRule="exact"/>
        <w:ind w:firstLine="480" w:firstLineChars="200"/>
        <w:rPr>
          <w:rFonts w:ascii="宋体" w:hAnsi="宋体" w:cs="宋体"/>
          <w:sz w:val="24"/>
          <w:szCs w:val="24"/>
        </w:rPr>
      </w:pPr>
      <w:r>
        <w:rPr>
          <w:rFonts w:hint="eastAsia" w:ascii="宋体" w:hAnsi="宋体" w:cs="宋体"/>
          <w:sz w:val="24"/>
          <w:szCs w:val="24"/>
        </w:rPr>
        <w:t>由于国家政策的规定以及发生不可抗力原因造成甲、乙双方不能履行合同，双方均不承担违约责任（不可抗力的范围按照民法通则的解释）。</w:t>
      </w:r>
    </w:p>
    <w:p>
      <w:pPr>
        <w:spacing w:line="480" w:lineRule="exact"/>
        <w:ind w:firstLine="480" w:firstLineChars="200"/>
        <w:rPr>
          <w:rFonts w:ascii="宋体" w:hAnsi="宋体" w:cs="宋体"/>
          <w:sz w:val="24"/>
          <w:szCs w:val="24"/>
        </w:rPr>
      </w:pPr>
      <w:r>
        <w:rPr>
          <w:rFonts w:hint="eastAsia" w:ascii="宋体" w:hAnsi="宋体" w:cs="宋体"/>
          <w:sz w:val="24"/>
          <w:szCs w:val="24"/>
        </w:rPr>
        <w:t>十一、争议解决</w:t>
      </w:r>
    </w:p>
    <w:p>
      <w:pPr>
        <w:spacing w:line="480" w:lineRule="exact"/>
        <w:ind w:firstLine="480" w:firstLineChars="200"/>
        <w:rPr>
          <w:rFonts w:ascii="宋体" w:hAnsi="宋体" w:cs="宋体"/>
          <w:sz w:val="24"/>
          <w:szCs w:val="24"/>
        </w:rPr>
      </w:pPr>
      <w:r>
        <w:rPr>
          <w:rFonts w:hint="eastAsia" w:ascii="宋体" w:hAnsi="宋体" w:cs="宋体"/>
          <w:sz w:val="24"/>
          <w:szCs w:val="24"/>
        </w:rPr>
        <w:t>1.因货物的质量问题发生争议时，应当邀请国家认可的质量检测机构对货物质量进行鉴定。货物符合标准的，鉴定费由甲方承担；货物不符合质量标准的，鉴定费由乙方承担。</w:t>
      </w:r>
    </w:p>
    <w:p>
      <w:pPr>
        <w:spacing w:line="480" w:lineRule="exact"/>
        <w:ind w:firstLine="480" w:firstLineChars="200"/>
        <w:rPr>
          <w:rFonts w:ascii="宋体" w:hAnsi="宋体" w:cs="宋体"/>
          <w:sz w:val="24"/>
          <w:szCs w:val="24"/>
        </w:rPr>
      </w:pPr>
      <w:r>
        <w:rPr>
          <w:rFonts w:hint="eastAsia" w:ascii="宋体" w:hAnsi="宋体" w:cs="宋体"/>
          <w:sz w:val="24"/>
          <w:szCs w:val="24"/>
        </w:rPr>
        <w:t>2.因履行合同引起争议，甲、乙双方应首先通过协商解决，如果协商不能解决争议，则采取以下方式解决争议：</w:t>
      </w:r>
    </w:p>
    <w:p>
      <w:pPr>
        <w:spacing w:line="480" w:lineRule="exact"/>
        <w:ind w:firstLine="480" w:firstLineChars="200"/>
        <w:rPr>
          <w:rFonts w:ascii="宋体" w:hAnsi="宋体" w:cs="宋体"/>
          <w:sz w:val="24"/>
          <w:szCs w:val="24"/>
        </w:rPr>
      </w:pPr>
      <w:r>
        <w:rPr>
          <w:rFonts w:hint="eastAsia" w:ascii="宋体" w:hAnsi="宋体" w:cs="宋体"/>
          <w:sz w:val="24"/>
          <w:szCs w:val="24"/>
        </w:rPr>
        <w:t>（1）向甲方所在地有管辖权的人民法院提起诉讼；</w:t>
      </w:r>
    </w:p>
    <w:p>
      <w:pPr>
        <w:spacing w:line="480" w:lineRule="exact"/>
        <w:ind w:firstLine="480" w:firstLineChars="200"/>
        <w:rPr>
          <w:rFonts w:ascii="宋体" w:hAnsi="宋体" w:cs="宋体"/>
          <w:sz w:val="24"/>
          <w:szCs w:val="24"/>
        </w:rPr>
      </w:pPr>
      <w:r>
        <w:rPr>
          <w:rFonts w:hint="eastAsia" w:ascii="宋体" w:hAnsi="宋体" w:cs="宋体"/>
          <w:sz w:val="24"/>
          <w:szCs w:val="24"/>
        </w:rPr>
        <w:t>（2）向盐城市仲裁委员会申请仲裁。</w:t>
      </w:r>
    </w:p>
    <w:p>
      <w:pPr>
        <w:spacing w:line="480" w:lineRule="exact"/>
        <w:ind w:firstLine="480" w:firstLineChars="200"/>
        <w:rPr>
          <w:rFonts w:ascii="宋体" w:hAnsi="宋体" w:cs="宋体"/>
          <w:sz w:val="24"/>
          <w:szCs w:val="24"/>
        </w:rPr>
      </w:pPr>
      <w:r>
        <w:rPr>
          <w:rFonts w:hint="eastAsia" w:ascii="宋体" w:hAnsi="宋体" w:cs="宋体"/>
          <w:sz w:val="24"/>
          <w:szCs w:val="24"/>
        </w:rPr>
        <w:t>3.在仲裁或诉讼期间，甲方有权另行选择供应商。</w:t>
      </w:r>
    </w:p>
    <w:p>
      <w:pPr>
        <w:spacing w:line="480" w:lineRule="exact"/>
        <w:ind w:firstLine="480" w:firstLineChars="200"/>
        <w:rPr>
          <w:rFonts w:ascii="宋体" w:hAnsi="宋体" w:cs="宋体"/>
          <w:sz w:val="24"/>
          <w:szCs w:val="24"/>
        </w:rPr>
      </w:pPr>
      <w:r>
        <w:rPr>
          <w:rFonts w:hint="eastAsia" w:ascii="宋体" w:hAnsi="宋体" w:cs="宋体"/>
          <w:sz w:val="24"/>
          <w:szCs w:val="24"/>
        </w:rPr>
        <w:t>十二、合同生效及其他</w:t>
      </w:r>
    </w:p>
    <w:p>
      <w:pPr>
        <w:spacing w:line="480" w:lineRule="exact"/>
        <w:ind w:firstLine="480" w:firstLineChars="200"/>
        <w:rPr>
          <w:rFonts w:ascii="宋体" w:hAnsi="宋体" w:cs="宋体"/>
          <w:sz w:val="24"/>
          <w:szCs w:val="24"/>
        </w:rPr>
      </w:pPr>
      <w:r>
        <w:rPr>
          <w:rFonts w:hint="eastAsia" w:ascii="宋体" w:hAnsi="宋体" w:cs="宋体"/>
          <w:sz w:val="24"/>
          <w:szCs w:val="24"/>
        </w:rPr>
        <w:t>合同经甲方、乙方代表签字盖章，一式4份，甲、乙双方各2份。</w:t>
      </w:r>
    </w:p>
    <w:p>
      <w:pPr>
        <w:spacing w:line="520" w:lineRule="exact"/>
        <w:ind w:left="561" w:leftChars="267"/>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甲方（盖章）：                     乙方（盖章）：</w:t>
      </w:r>
    </w:p>
    <w:p>
      <w:pPr>
        <w:spacing w:line="480" w:lineRule="exact"/>
        <w:ind w:firstLine="480" w:firstLineChars="200"/>
        <w:rPr>
          <w:rFonts w:ascii="宋体" w:hAnsi="宋体" w:cs="宋体"/>
          <w:sz w:val="24"/>
          <w:szCs w:val="24"/>
        </w:rPr>
      </w:pPr>
      <w:r>
        <w:rPr>
          <w:rFonts w:hint="eastAsia" w:ascii="宋体" w:hAnsi="宋体" w:cs="宋体"/>
          <w:sz w:val="24"/>
          <w:szCs w:val="24"/>
        </w:rPr>
        <w:t>代表签字：                         代表签字：</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年   月   日                       年   月   日  </w:t>
      </w:r>
    </w:p>
    <w:p>
      <w:pPr>
        <w:spacing w:line="440" w:lineRule="exact"/>
        <w:ind w:firstLine="480" w:firstLineChars="200"/>
        <w:rPr>
          <w:rFonts w:ascii="宋体" w:hAnsi="宋体"/>
          <w:bCs/>
          <w:sz w:val="24"/>
          <w:szCs w:val="24"/>
        </w:rPr>
      </w:pPr>
    </w:p>
    <w:p>
      <w:pPr>
        <w:pStyle w:val="2"/>
        <w:pageBreakBefore/>
        <w:spacing w:line="700" w:lineRule="exact"/>
        <w:jc w:val="center"/>
        <w:rPr>
          <w:rFonts w:ascii="宋体" w:hAnsi="宋体"/>
          <w:b/>
          <w:bCs/>
          <w:sz w:val="44"/>
        </w:rPr>
      </w:pPr>
      <w:bookmarkStart w:id="32" w:name="_Toc155527170"/>
      <w:r>
        <w:rPr>
          <w:rFonts w:hint="eastAsia" w:ascii="宋体" w:hAnsi="宋体"/>
          <w:b/>
          <w:bCs/>
          <w:sz w:val="44"/>
        </w:rPr>
        <w:t>第四章  项目需求</w:t>
      </w:r>
      <w:bookmarkEnd w:id="32"/>
    </w:p>
    <w:p>
      <w:pPr>
        <w:spacing w:line="440" w:lineRule="exact"/>
        <w:jc w:val="center"/>
        <w:rPr>
          <w:rFonts w:ascii="宋体" w:hAnsi="宋体" w:cs="宋体"/>
          <w:b/>
          <w:sz w:val="32"/>
          <w:szCs w:val="32"/>
        </w:rPr>
      </w:pPr>
    </w:p>
    <w:p>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1、招标内容：调味品、干货、酱菜类；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2、预计采购量：100吨。“预计采购量”仅作为投标参考量，不作为合同履约依据，如有政策性扶贫任务，采购量将依据要求减少，最终以招标人实际采购量为准。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二、质量、验收标准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1、所供货物必须达到国家相应标准。实际供货时，质量要求要高于或等于提供的样品（如需提供样品）。 </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2、投标人应按招标人计划要求，按本文件规定的品种、规格、质量提供成品食品原料。包装类食品产品送达日剩余保质期天数须大于产品总保质期2/3的天数，否则招标方有权拒绝收货。</w:t>
      </w:r>
    </w:p>
    <w:p>
      <w:pPr>
        <w:spacing w:line="480" w:lineRule="exact"/>
        <w:ind w:firstLine="480" w:firstLineChars="200"/>
        <w:rPr>
          <w:rFonts w:ascii="宋体" w:hAnsi="宋体" w:cs="宋体"/>
          <w:b/>
          <w:sz w:val="24"/>
          <w:szCs w:val="24"/>
        </w:rPr>
      </w:pPr>
      <w:r>
        <w:rPr>
          <w:rFonts w:hint="eastAsia" w:ascii="宋体" w:hAnsi="宋体" w:cs="宋体"/>
          <w:kern w:val="0"/>
          <w:sz w:val="24"/>
          <w:szCs w:val="24"/>
        </w:rPr>
        <w:t>3、投标人所提供的食品、产品必须安全无害，符合国家规定标准。</w:t>
      </w:r>
    </w:p>
    <w:p>
      <w:pPr>
        <w:spacing w:line="480" w:lineRule="exact"/>
        <w:jc w:val="center"/>
        <w:rPr>
          <w:rFonts w:ascii="宋体" w:hAnsi="宋体" w:cs="宋体"/>
          <w:b/>
          <w:sz w:val="24"/>
          <w:szCs w:val="24"/>
        </w:rPr>
      </w:pPr>
    </w:p>
    <w:p>
      <w:pPr>
        <w:spacing w:after="100" w:afterAutospacing="1" w:line="480" w:lineRule="exact"/>
        <w:jc w:val="center"/>
        <w:rPr>
          <w:rFonts w:ascii="宋体" w:hAnsi="宋体" w:cs="宋体"/>
          <w:b/>
          <w:sz w:val="24"/>
          <w:szCs w:val="24"/>
        </w:rPr>
      </w:pPr>
      <w:r>
        <w:rPr>
          <w:rFonts w:hint="eastAsia" w:ascii="宋体" w:hAnsi="宋体" w:cs="宋体"/>
          <w:b/>
          <w:sz w:val="24"/>
          <w:szCs w:val="24"/>
        </w:rPr>
        <w:t>第二节 商务条款</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pPr>
        <w:pStyle w:val="2"/>
        <w:pageBreakBefore/>
        <w:spacing w:after="100" w:afterAutospacing="1" w:line="700" w:lineRule="exact"/>
        <w:jc w:val="center"/>
        <w:rPr>
          <w:rFonts w:ascii="宋体" w:hAnsi="宋体"/>
          <w:b/>
          <w:bCs/>
          <w:sz w:val="44"/>
        </w:rPr>
      </w:pPr>
      <w:bookmarkStart w:id="33" w:name="_Toc155527171"/>
      <w:r>
        <w:rPr>
          <w:rFonts w:hint="eastAsia" w:ascii="宋体" w:hAnsi="宋体"/>
          <w:b/>
          <w:bCs/>
          <w:sz w:val="44"/>
        </w:rPr>
        <w:t>第五章  评标方法与评标标准</w:t>
      </w:r>
      <w:bookmarkEnd w:id="33"/>
    </w:p>
    <w:p>
      <w:pPr>
        <w:spacing w:line="480" w:lineRule="exact"/>
        <w:ind w:firstLine="482" w:firstLineChars="200"/>
        <w:rPr>
          <w:rFonts w:ascii="宋体" w:hAnsi="宋体"/>
        </w:rPr>
      </w:pPr>
      <w:r>
        <w:rPr>
          <w:rFonts w:hint="eastAsia" w:ascii="宋体" w:hAnsi="宋体"/>
          <w:b/>
          <w:sz w:val="24"/>
          <w:szCs w:val="24"/>
        </w:rPr>
        <w:t>一、评标方法与定标原则</w:t>
      </w:r>
    </w:p>
    <w:p>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47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评分标准</w:t>
            </w:r>
          </w:p>
        </w:tc>
      </w:tr>
      <w:tr>
        <w:tblPrEx>
          <w:tblCellMar>
            <w:top w:w="0" w:type="dxa"/>
            <w:left w:w="108" w:type="dxa"/>
            <w:bottom w:w="0" w:type="dxa"/>
            <w:right w:w="108" w:type="dxa"/>
          </w:tblCellMar>
        </w:tblPrEx>
        <w:trPr>
          <w:trHeight w:val="123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报价部分       （6</w:t>
            </w:r>
            <w:r>
              <w:rPr>
                <w:rFonts w:ascii="宋体" w:hAnsi="宋体" w:cs="宋体"/>
                <w:sz w:val="24"/>
                <w:szCs w:val="24"/>
              </w:rPr>
              <w:t>0</w:t>
            </w:r>
            <w:r>
              <w:rPr>
                <w:rFonts w:hint="eastAsia" w:ascii="宋体" w:hAnsi="宋体" w:cs="宋体"/>
                <w:sz w:val="24"/>
                <w:szCs w:val="24"/>
              </w:rPr>
              <w:t>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sz w:val="24"/>
                <w:szCs w:val="24"/>
              </w:rPr>
            </w:pPr>
            <w:r>
              <w:rPr>
                <w:rFonts w:hint="eastAsia" w:ascii="宋体" w:hAnsi="宋体"/>
                <w:sz w:val="24"/>
                <w:szCs w:val="24"/>
              </w:rPr>
              <w:t>满足招标文件要求且综合投标报价（即所有产品小计价格的总和作为综合投标报价）最低的有效综合投标报价为评标基准价，其价格分为满分，其他投标人的价格分按下列公式计算：投标报价得分＝（评标基准价/综合投标报价）×60（四舍五入后保留小数点后两位）</w:t>
            </w:r>
          </w:p>
        </w:tc>
      </w:tr>
      <w:tr>
        <w:tblPrEx>
          <w:tblCellMar>
            <w:top w:w="0" w:type="dxa"/>
            <w:left w:w="108" w:type="dxa"/>
            <w:bottom w:w="0" w:type="dxa"/>
            <w:right w:w="108" w:type="dxa"/>
          </w:tblCellMar>
        </w:tblPrEx>
        <w:trPr>
          <w:trHeight w:val="1421" w:hRule="atLeast"/>
          <w:jc w:val="center"/>
        </w:trPr>
        <w:tc>
          <w:tcPr>
            <w:tcW w:w="1736"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自2021年1月1日至投标截止日止，投标人具有与本项目内容相匹配的类似项目业绩，每份得2分。</w:t>
            </w:r>
            <w:r>
              <w:rPr>
                <w:rFonts w:hint="eastAsia" w:ascii="宋体" w:hAnsi="宋体"/>
                <w:b/>
                <w:bCs/>
                <w:sz w:val="24"/>
                <w:szCs w:val="24"/>
              </w:rPr>
              <w:t>本项最多得</w:t>
            </w:r>
            <w:r>
              <w:rPr>
                <w:rFonts w:ascii="宋体" w:hAnsi="宋体"/>
                <w:b/>
                <w:bCs/>
                <w:sz w:val="24"/>
                <w:szCs w:val="24"/>
              </w:rPr>
              <w:t>1</w:t>
            </w:r>
            <w:r>
              <w:rPr>
                <w:rFonts w:hint="eastAsia" w:ascii="宋体" w:hAnsi="宋体"/>
                <w:b/>
                <w:bCs/>
                <w:sz w:val="24"/>
                <w:szCs w:val="24"/>
              </w:rPr>
              <w:t>0分</w:t>
            </w:r>
            <w:r>
              <w:rPr>
                <w:rFonts w:hint="eastAsia" w:ascii="宋体" w:hAnsi="宋体"/>
                <w:sz w:val="24"/>
                <w:szCs w:val="24"/>
              </w:rPr>
              <w:t>，同一单位不同年度不重复计分。提供加盖投标人公章的合同复印件、服务单位盖章的意见反馈证明（格式自拟），缺一项不得分。</w:t>
            </w:r>
          </w:p>
        </w:tc>
      </w:tr>
      <w:tr>
        <w:tblPrEx>
          <w:tblCellMar>
            <w:top w:w="0" w:type="dxa"/>
            <w:left w:w="108" w:type="dxa"/>
            <w:bottom w:w="0" w:type="dxa"/>
            <w:right w:w="108" w:type="dxa"/>
          </w:tblCellMar>
        </w:tblPrEx>
        <w:trPr>
          <w:trHeight w:val="882" w:hRule="atLeast"/>
          <w:jc w:val="center"/>
        </w:trPr>
        <w:tc>
          <w:tcPr>
            <w:tcW w:w="1736" w:type="dxa"/>
            <w:vMerge w:val="continue"/>
            <w:tcBorders>
              <w:left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投标人具有有效期内相关的原材料生产厂家进货代理协议或经销授权委托书，每提供1份厂家证明材料得1分。</w:t>
            </w:r>
            <w:r>
              <w:rPr>
                <w:rFonts w:hint="eastAsia" w:ascii="宋体" w:hAnsi="宋体"/>
                <w:b/>
                <w:sz w:val="24"/>
                <w:szCs w:val="24"/>
              </w:rPr>
              <w:t>本项最多得5分</w:t>
            </w:r>
            <w:r>
              <w:rPr>
                <w:rFonts w:hint="eastAsia" w:ascii="宋体" w:hAnsi="宋体"/>
                <w:sz w:val="24"/>
                <w:szCs w:val="24"/>
              </w:rPr>
              <w:t>。</w:t>
            </w:r>
          </w:p>
          <w:p>
            <w:pPr>
              <w:ind w:firstLine="480" w:firstLineChars="200"/>
              <w:rPr>
                <w:rFonts w:ascii="宋体" w:hAnsi="宋体" w:cs="楷体"/>
                <w:sz w:val="24"/>
                <w:szCs w:val="24"/>
              </w:rPr>
            </w:pPr>
            <w:r>
              <w:rPr>
                <w:rFonts w:hint="eastAsia" w:ascii="宋体" w:hAnsi="宋体"/>
                <w:sz w:val="24"/>
                <w:szCs w:val="24"/>
              </w:rPr>
              <w:t>厂家证明材料加盖投标人公章。</w:t>
            </w:r>
          </w:p>
        </w:tc>
      </w:tr>
      <w:tr>
        <w:tblPrEx>
          <w:tblCellMar>
            <w:top w:w="0" w:type="dxa"/>
            <w:left w:w="108" w:type="dxa"/>
            <w:bottom w:w="0" w:type="dxa"/>
            <w:right w:w="108" w:type="dxa"/>
          </w:tblCellMar>
        </w:tblPrEx>
        <w:trPr>
          <w:trHeight w:val="1896" w:hRule="atLeast"/>
          <w:jc w:val="center"/>
        </w:trPr>
        <w:tc>
          <w:tcPr>
            <w:tcW w:w="1736"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投标人有配送车辆，每有一辆得3分，</w:t>
            </w:r>
            <w:r>
              <w:rPr>
                <w:rFonts w:hint="eastAsia" w:ascii="宋体" w:hAnsi="宋体"/>
                <w:b/>
                <w:sz w:val="24"/>
                <w:szCs w:val="24"/>
              </w:rPr>
              <w:t>本项最多得5分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1.车辆为自有的，需提供车辆照片、行驶证复印件，行驶证上显示的所有人或者与投标人名称一致，或者与法定代表人名称一致。</w:t>
            </w:r>
          </w:p>
          <w:p>
            <w:pPr>
              <w:ind w:firstLine="480" w:firstLineChars="200"/>
              <w:rPr>
                <w:rFonts w:ascii="宋体" w:hAnsi="宋体"/>
                <w:sz w:val="24"/>
                <w:szCs w:val="24"/>
              </w:rPr>
            </w:pPr>
            <w:r>
              <w:rPr>
                <w:rFonts w:hint="eastAsia" w:ascii="宋体" w:hAnsi="宋体"/>
                <w:sz w:val="24"/>
                <w:szCs w:val="24"/>
              </w:rPr>
              <w:t>2.若为租用车辆，需提供车辆照片、租赁合同复印件、行驶证复印件，行驶证上显示的所有人需与出租方名称一致。</w:t>
            </w:r>
          </w:p>
          <w:p>
            <w:pPr>
              <w:ind w:firstLine="480" w:firstLineChars="200"/>
              <w:rPr>
                <w:rFonts w:ascii="宋体" w:hAnsi="宋体"/>
                <w:sz w:val="24"/>
                <w:szCs w:val="24"/>
              </w:rPr>
            </w:pPr>
            <w:r>
              <w:rPr>
                <w:rFonts w:hint="eastAsia" w:ascii="宋体" w:hAnsi="宋体"/>
                <w:sz w:val="24"/>
                <w:szCs w:val="24"/>
              </w:rPr>
              <w:t>照片和复印件加盖投标人公章。</w:t>
            </w:r>
          </w:p>
        </w:tc>
      </w:tr>
    </w:tbl>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3528" w:hRule="atLeast"/>
          <w:jc w:val="center"/>
        </w:trPr>
        <w:tc>
          <w:tcPr>
            <w:tcW w:w="1736"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一、可行性实施方案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投标人根据招标文件的需求提供操作性强的可行性实施方案（包括服务方案、配送服务的货源、采购渠道、供货保障、品质监控、日常管理组织、物流配送、数量保证）。</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（1）项目背景理解准确；</w:t>
            </w:r>
          </w:p>
          <w:p>
            <w:pPr>
              <w:ind w:firstLine="480" w:firstLineChars="200"/>
              <w:rPr>
                <w:rFonts w:ascii="宋体" w:hAnsi="宋体"/>
                <w:sz w:val="24"/>
                <w:szCs w:val="24"/>
              </w:rPr>
            </w:pPr>
            <w:r>
              <w:rPr>
                <w:rFonts w:hint="eastAsia" w:ascii="宋体" w:hAnsi="宋体"/>
                <w:sz w:val="24"/>
                <w:szCs w:val="24"/>
              </w:rPr>
              <w:t>（2）管理规范、保障措施科学全面；</w:t>
            </w:r>
          </w:p>
          <w:p>
            <w:pPr>
              <w:ind w:firstLine="480" w:firstLineChars="200"/>
              <w:rPr>
                <w:rFonts w:ascii="宋体" w:hAnsi="宋体"/>
                <w:sz w:val="24"/>
                <w:szCs w:val="24"/>
              </w:rPr>
            </w:pPr>
            <w:r>
              <w:rPr>
                <w:rFonts w:hint="eastAsia" w:ascii="宋体" w:hAnsi="宋体"/>
                <w:sz w:val="24"/>
                <w:szCs w:val="24"/>
              </w:rPr>
              <w:t>（3）供货保障、品质监控能力强。</w:t>
            </w:r>
          </w:p>
          <w:p>
            <w:pPr>
              <w:ind w:firstLine="480" w:firstLineChars="200"/>
              <w:rPr>
                <w:rFonts w:ascii="宋体" w:hAnsi="宋体"/>
                <w:sz w:val="24"/>
                <w:szCs w:val="24"/>
              </w:rPr>
            </w:pPr>
            <w:r>
              <w:rPr>
                <w:rFonts w:hint="eastAsia" w:ascii="宋体" w:hAnsi="宋体"/>
                <w:sz w:val="24"/>
                <w:szCs w:val="24"/>
              </w:rPr>
              <w:t>满足以上三项要求得9分，满足以上两项要求得6分，满足一项得3分，其它情况不得分。格式自拟，加盖投标人公章。</w:t>
            </w:r>
          </w:p>
        </w:tc>
      </w:tr>
      <w:tr>
        <w:tblPrEx>
          <w:tblCellMar>
            <w:top w:w="0" w:type="dxa"/>
            <w:left w:w="108" w:type="dxa"/>
            <w:bottom w:w="0" w:type="dxa"/>
            <w:right w:w="108" w:type="dxa"/>
          </w:tblCellMar>
        </w:tblPrEx>
        <w:trPr>
          <w:trHeight w:val="3110" w:hRule="atLeast"/>
          <w:jc w:val="center"/>
        </w:trPr>
        <w:tc>
          <w:tcPr>
            <w:tcW w:w="1736" w:type="dxa"/>
            <w:vMerge w:val="continue"/>
            <w:tcBorders>
              <w:left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二、项目重点难点分析</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投标人提供项目重点难点分析（包括食材采购、储存、分装和运输过程中保持新鲜；配送时间的把控等）的</w:t>
            </w:r>
            <w:r>
              <w:rPr>
                <w:rFonts w:ascii="宋体" w:hAnsi="宋体"/>
                <w:sz w:val="24"/>
                <w:szCs w:val="24"/>
              </w:rPr>
              <w:t>应对措施</w:t>
            </w:r>
            <w:r>
              <w:rPr>
                <w:rFonts w:hint="eastAsia" w:ascii="宋体" w:hAnsi="宋体"/>
                <w:sz w:val="24"/>
                <w:szCs w:val="24"/>
              </w:rPr>
              <w:t>、</w:t>
            </w:r>
            <w:r>
              <w:rPr>
                <w:rFonts w:ascii="宋体" w:hAnsi="宋体"/>
                <w:sz w:val="24"/>
                <w:szCs w:val="24"/>
              </w:rPr>
              <w:t>合理化建议</w:t>
            </w:r>
            <w:r>
              <w:rPr>
                <w:rFonts w:hint="eastAsia" w:ascii="宋体" w:hAnsi="宋体"/>
                <w:sz w:val="24"/>
                <w:szCs w:val="24"/>
              </w:rPr>
              <w:t>。</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（1）项目重点难点分析全面准确；</w:t>
            </w:r>
          </w:p>
          <w:p>
            <w:pPr>
              <w:ind w:firstLine="480" w:firstLineChars="200"/>
              <w:rPr>
                <w:rFonts w:ascii="宋体" w:hAnsi="宋体"/>
                <w:sz w:val="24"/>
                <w:szCs w:val="24"/>
              </w:rPr>
            </w:pPr>
            <w:r>
              <w:rPr>
                <w:rFonts w:hint="eastAsia" w:ascii="宋体" w:hAnsi="宋体"/>
                <w:sz w:val="24"/>
                <w:szCs w:val="24"/>
              </w:rPr>
              <w:t>（2）项目应对措施及合理化建议清晰；</w:t>
            </w:r>
          </w:p>
          <w:p>
            <w:pPr>
              <w:ind w:firstLine="480" w:firstLineChars="200"/>
              <w:rPr>
                <w:rFonts w:ascii="宋体" w:hAnsi="宋体"/>
                <w:sz w:val="24"/>
                <w:szCs w:val="24"/>
              </w:rPr>
            </w:pPr>
            <w:r>
              <w:rPr>
                <w:rFonts w:hint="eastAsia" w:ascii="宋体" w:hAnsi="宋体"/>
                <w:sz w:val="24"/>
                <w:szCs w:val="24"/>
              </w:rPr>
              <w:t>（3）项目应对措施及合理化建议可操作性强；</w:t>
            </w:r>
          </w:p>
          <w:p>
            <w:pPr>
              <w:ind w:firstLine="480" w:firstLineChars="200"/>
              <w:rPr>
                <w:rFonts w:ascii="宋体" w:hAnsi="宋体"/>
                <w:sz w:val="24"/>
                <w:szCs w:val="24"/>
              </w:rPr>
            </w:pPr>
            <w:r>
              <w:rPr>
                <w:rFonts w:hint="eastAsia" w:ascii="宋体" w:hAnsi="宋体"/>
                <w:sz w:val="24"/>
                <w:szCs w:val="24"/>
              </w:rPr>
              <w:t>满足以上三项要求得6分，满足以上两项要求得4分，满足一项得分2分，其它情况不得分。格式自拟，加盖投标人公章。</w:t>
            </w:r>
          </w:p>
        </w:tc>
      </w:tr>
      <w:tr>
        <w:tblPrEx>
          <w:tblCellMar>
            <w:top w:w="0" w:type="dxa"/>
            <w:left w:w="108" w:type="dxa"/>
            <w:bottom w:w="0" w:type="dxa"/>
            <w:right w:w="108" w:type="dxa"/>
          </w:tblCellMar>
        </w:tblPrEx>
        <w:trPr>
          <w:trHeight w:val="2829" w:hRule="atLeast"/>
          <w:jc w:val="center"/>
        </w:trPr>
        <w:tc>
          <w:tcPr>
            <w:tcW w:w="1736" w:type="dxa"/>
            <w:vMerge w:val="continue"/>
            <w:tcBorders>
              <w:left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三、</w:t>
            </w:r>
            <w:r>
              <w:rPr>
                <w:rFonts w:ascii="宋体" w:hAnsi="宋体"/>
                <w:b/>
                <w:sz w:val="24"/>
                <w:szCs w:val="24"/>
              </w:rPr>
              <w:t>应急处理</w:t>
            </w:r>
            <w:r>
              <w:rPr>
                <w:rFonts w:hint="eastAsia" w:ascii="宋体" w:hAnsi="宋体"/>
                <w:b/>
                <w:sz w:val="24"/>
                <w:szCs w:val="24"/>
              </w:rPr>
              <w:t>工作</w:t>
            </w:r>
            <w:r>
              <w:rPr>
                <w:rFonts w:ascii="宋体" w:hAnsi="宋体"/>
                <w:b/>
                <w:sz w:val="24"/>
                <w:szCs w:val="24"/>
              </w:rPr>
              <w:t>方案</w:t>
            </w:r>
            <w:r>
              <w:rPr>
                <w:rFonts w:hint="eastAsia" w:ascii="宋体" w:hAnsi="宋体"/>
                <w:b/>
                <w:sz w:val="24"/>
                <w:szCs w:val="24"/>
              </w:rPr>
              <w:t>和预案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ascii="宋体" w:hAnsi="宋体"/>
                <w:sz w:val="24"/>
                <w:szCs w:val="24"/>
              </w:rPr>
              <w:t>投标人提供</w:t>
            </w:r>
            <w:r>
              <w:rPr>
                <w:rFonts w:hint="eastAsia" w:ascii="宋体" w:hAnsi="宋体"/>
                <w:sz w:val="24"/>
                <w:szCs w:val="24"/>
              </w:rPr>
              <w:t>完备</w:t>
            </w:r>
            <w:r>
              <w:rPr>
                <w:rFonts w:ascii="宋体" w:hAnsi="宋体"/>
                <w:sz w:val="24"/>
                <w:szCs w:val="24"/>
              </w:rPr>
              <w:t>的物流配送、食品安全等方面的应急处理</w:t>
            </w:r>
            <w:r>
              <w:rPr>
                <w:rFonts w:hint="eastAsia" w:ascii="宋体" w:hAnsi="宋体"/>
                <w:sz w:val="24"/>
                <w:szCs w:val="24"/>
              </w:rPr>
              <w:t>工作</w:t>
            </w:r>
            <w:r>
              <w:rPr>
                <w:rFonts w:ascii="宋体" w:hAnsi="宋体"/>
                <w:sz w:val="24"/>
                <w:szCs w:val="24"/>
              </w:rPr>
              <w:t>方案</w:t>
            </w:r>
            <w:r>
              <w:rPr>
                <w:rFonts w:hint="eastAsia" w:ascii="宋体" w:hAnsi="宋体"/>
                <w:sz w:val="24"/>
                <w:szCs w:val="24"/>
              </w:rPr>
              <w:t>、预案。</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（1）物流配送应急处理的工作方案详细、科学、合理；</w:t>
            </w:r>
          </w:p>
          <w:p>
            <w:pPr>
              <w:ind w:firstLine="480" w:firstLineChars="200"/>
              <w:rPr>
                <w:rFonts w:ascii="宋体" w:hAnsi="宋体"/>
                <w:sz w:val="24"/>
                <w:szCs w:val="24"/>
              </w:rPr>
            </w:pPr>
            <w:r>
              <w:rPr>
                <w:rFonts w:hint="eastAsia" w:ascii="宋体" w:hAnsi="宋体"/>
                <w:sz w:val="24"/>
                <w:szCs w:val="24"/>
              </w:rPr>
              <w:t>（2）食品安全应急处理的工作方案详细、科学、合理；</w:t>
            </w:r>
          </w:p>
          <w:p>
            <w:pPr>
              <w:ind w:firstLine="480" w:firstLineChars="200"/>
              <w:rPr>
                <w:rFonts w:ascii="宋体" w:hAnsi="宋体"/>
                <w:sz w:val="24"/>
                <w:szCs w:val="24"/>
              </w:rPr>
            </w:pPr>
            <w:r>
              <w:rPr>
                <w:rFonts w:hint="eastAsia" w:ascii="宋体" w:hAnsi="宋体"/>
                <w:sz w:val="24"/>
                <w:szCs w:val="24"/>
              </w:rPr>
              <w:t>满足以上两项要求得2分，满足以上一项要求得1分，其它情况不得分。格式自拟，加盖投标人公章。</w:t>
            </w:r>
          </w:p>
        </w:tc>
      </w:tr>
      <w:tr>
        <w:tblPrEx>
          <w:tblCellMar>
            <w:top w:w="0" w:type="dxa"/>
            <w:left w:w="108" w:type="dxa"/>
            <w:bottom w:w="0" w:type="dxa"/>
            <w:right w:w="108" w:type="dxa"/>
          </w:tblCellMar>
        </w:tblPrEx>
        <w:trPr>
          <w:trHeight w:val="2958" w:hRule="atLeast"/>
          <w:jc w:val="center"/>
        </w:trPr>
        <w:tc>
          <w:tcPr>
            <w:tcW w:w="1736"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四、违约承诺</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color w:val="FF0000"/>
                <w:sz w:val="24"/>
                <w:szCs w:val="24"/>
              </w:rPr>
            </w:pPr>
            <w:r>
              <w:rPr>
                <w:rFonts w:hint="eastAsia" w:ascii="宋体" w:hAnsi="宋体"/>
                <w:sz w:val="24"/>
                <w:szCs w:val="24"/>
              </w:rPr>
              <w:t>投标人提供违约承诺，包括食品安全、服务质量、诚信经营、供货及时性等内容。</w:t>
            </w:r>
          </w:p>
          <w:p>
            <w:pPr>
              <w:ind w:firstLine="482" w:firstLineChars="200"/>
              <w:rPr>
                <w:rFonts w:ascii="宋体" w:hAnsi="宋体"/>
                <w:color w:val="FF0000"/>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（1）违约承诺详细、全面；</w:t>
            </w:r>
          </w:p>
          <w:p>
            <w:pPr>
              <w:ind w:firstLine="480" w:firstLineChars="200"/>
              <w:rPr>
                <w:rFonts w:ascii="宋体" w:hAnsi="宋体"/>
                <w:sz w:val="24"/>
                <w:szCs w:val="24"/>
              </w:rPr>
            </w:pPr>
            <w:r>
              <w:rPr>
                <w:rFonts w:hint="eastAsia" w:ascii="宋体" w:hAnsi="宋体"/>
                <w:sz w:val="24"/>
                <w:szCs w:val="24"/>
              </w:rPr>
              <w:t>（2）违约承诺科学、合理；</w:t>
            </w:r>
          </w:p>
          <w:p>
            <w:pPr>
              <w:ind w:firstLine="480" w:firstLineChars="200"/>
              <w:rPr>
                <w:rFonts w:ascii="宋体" w:hAnsi="宋体"/>
                <w:sz w:val="24"/>
                <w:szCs w:val="24"/>
              </w:rPr>
            </w:pPr>
            <w:r>
              <w:rPr>
                <w:rFonts w:hint="eastAsia" w:ascii="宋体" w:hAnsi="宋体"/>
                <w:sz w:val="24"/>
                <w:szCs w:val="24"/>
              </w:rPr>
              <w:t>（3）违约承诺可操作性强；</w:t>
            </w:r>
          </w:p>
          <w:p>
            <w:pPr>
              <w:ind w:firstLine="480" w:firstLineChars="200"/>
              <w:rPr>
                <w:rFonts w:ascii="宋体" w:hAnsi="宋体"/>
                <w:b/>
                <w:sz w:val="24"/>
                <w:szCs w:val="24"/>
              </w:rPr>
            </w:pPr>
            <w:r>
              <w:rPr>
                <w:rFonts w:hint="eastAsia" w:ascii="宋体" w:hAnsi="宋体"/>
                <w:sz w:val="24"/>
                <w:szCs w:val="24"/>
              </w:rPr>
              <w:t>满足以上三项要求得3分，满足以上两项要求得2分，满足一项得1分，其它情况不得分。格式自拟，加盖投标人公章。</w:t>
            </w:r>
          </w:p>
        </w:tc>
      </w:tr>
    </w:tbl>
    <w:p>
      <w:r>
        <w:br w:type="page"/>
      </w:r>
    </w:p>
    <w:p>
      <w:pPr>
        <w:pageBreakBefore/>
        <w:autoSpaceDE w:val="0"/>
        <w:autoSpaceDN w:val="0"/>
        <w:adjustRightInd w:val="0"/>
        <w:spacing w:line="700" w:lineRule="exact"/>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36"/>
          <w:szCs w:val="36"/>
          <w:lang w:val="zh-CN"/>
        </w:rPr>
      </w:pPr>
    </w:p>
    <w:p>
      <w:pPr>
        <w:autoSpaceDE w:val="0"/>
        <w:autoSpaceDN w:val="0"/>
        <w:adjustRightInd w:val="0"/>
        <w:jc w:val="center"/>
        <w:rPr>
          <w:rFonts w:ascii="宋体" w:cs="宋体"/>
          <w:b/>
          <w:bCs/>
          <w:sz w:val="36"/>
          <w:szCs w:val="36"/>
          <w:lang w:val="zh-CN"/>
        </w:rPr>
      </w:pPr>
    </w:p>
    <w:p>
      <w:pPr>
        <w:autoSpaceDE w:val="0"/>
        <w:autoSpaceDN w:val="0"/>
        <w:adjustRightInd w:val="0"/>
        <w:spacing w:line="600" w:lineRule="exact"/>
        <w:jc w:val="center"/>
        <w:rPr>
          <w:rFonts w:ascii="宋体" w:cs="宋体"/>
          <w:b/>
          <w:bCs/>
          <w:sz w:val="36"/>
          <w:szCs w:val="36"/>
          <w:lang w:val="zh-CN"/>
        </w:rPr>
      </w:pP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440" w:lineRule="exact"/>
        <w:jc w:val="center"/>
        <w:rPr>
          <w:rFonts w:ascii="宋体" w:cs="宋体"/>
          <w:b/>
          <w:bCs/>
          <w:sz w:val="24"/>
          <w:szCs w:val="24"/>
          <w:lang w:val="zh-CN"/>
        </w:rPr>
      </w:pPr>
    </w:p>
    <w:p>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pPr>
        <w:ind w:left="1260" w:leftChars="600"/>
        <w:rPr>
          <w:lang w:val="zh-CN"/>
        </w:rPr>
      </w:pP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二、实质性要求和条件响应对照表（如有）</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九、可行性实施方案、项目重点难点分析、应急处理工作方案</w:t>
      </w:r>
      <w:r>
        <w:rPr>
          <w:rFonts w:hint="eastAsia" w:ascii="宋体" w:cs="宋体"/>
          <w:sz w:val="24"/>
          <w:szCs w:val="24"/>
        </w:rPr>
        <w:t>和</w:t>
      </w:r>
      <w:r>
        <w:rPr>
          <w:rFonts w:hint="eastAsia" w:ascii="宋体" w:cs="宋体"/>
          <w:sz w:val="24"/>
          <w:szCs w:val="24"/>
          <w:lang w:val="zh-CN"/>
        </w:rPr>
        <w:t>预案、违约承诺</w:t>
      </w:r>
    </w:p>
    <w:p>
      <w:pPr>
        <w:autoSpaceDE w:val="0"/>
        <w:autoSpaceDN w:val="0"/>
        <w:adjustRightInd w:val="0"/>
        <w:spacing w:line="440" w:lineRule="exact"/>
        <w:ind w:firstLine="480"/>
        <w:rPr>
          <w:rFonts w:ascii="宋体" w:cs="宋体"/>
          <w:sz w:val="24"/>
          <w:szCs w:val="24"/>
          <w:lang w:val="zh-CN"/>
        </w:r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5245" w:type="dxa"/>
            <w:vAlign w:val="center"/>
          </w:tcPr>
          <w:p>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pPr>
              <w:rPr>
                <w:rFonts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pPr>
              <w:ind w:firstLine="482" w:firstLineChars="200"/>
              <w:jc w:val="center"/>
              <w:rPr>
                <w:rFonts w:ascii="宋体" w:hAnsi="宋体"/>
                <w:b/>
                <w:sz w:val="24"/>
                <w:szCs w:val="21"/>
              </w:rPr>
            </w:pPr>
          </w:p>
        </w:tc>
        <w:tc>
          <w:tcPr>
            <w:tcW w:w="1512"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rPr>
                <w:rFonts w:ascii="宋体" w:hAnsi="宋体"/>
                <w:b/>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rPr>
                <w:rFonts w:ascii="宋体" w:hAnsi="宋体"/>
                <w:iCs/>
                <w:sz w:val="24"/>
                <w:szCs w:val="24"/>
              </w:rPr>
            </w:pPr>
            <w:r>
              <w:rPr>
                <w:rFonts w:hint="eastAsia" w:ascii="宋体" w:hAnsi="宋体"/>
                <w:bCs/>
                <w:sz w:val="24"/>
                <w:szCs w:val="24"/>
              </w:rPr>
              <w:t>法定代表人、授权代理人人员名单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rPr>
                <w:rFonts w:ascii="宋体" w:hAnsi="宋体"/>
                <w:iCs/>
                <w:sz w:val="24"/>
                <w:szCs w:val="24"/>
              </w:rPr>
            </w:pPr>
            <w:r>
              <w:rPr>
                <w:rFonts w:hint="eastAsia" w:ascii="宋体" w:hAnsi="宋体"/>
                <w:bCs/>
                <w:sz w:val="24"/>
                <w:szCs w:val="24"/>
              </w:rPr>
              <w:t>提供与本项目经营范围相符合的食品经营许可证复印件。</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rPr>
                <w:rFonts w:ascii="宋体" w:hAnsi="宋体"/>
                <w:iCs/>
                <w:sz w:val="24"/>
                <w:szCs w:val="24"/>
              </w:rPr>
            </w:pPr>
            <w:r>
              <w:rPr>
                <w:rFonts w:hint="eastAsia" w:ascii="宋体" w:hAnsi="宋体"/>
                <w:iCs/>
                <w:sz w:val="24"/>
                <w:szCs w:val="24"/>
              </w:rPr>
              <w:t>未被“信用中国”网站</w:t>
            </w:r>
          </w:p>
          <w:p>
            <w:pPr>
              <w:rPr>
                <w:rFonts w:ascii="宋体" w:hAnsi="宋体"/>
                <w:iCs/>
                <w:sz w:val="24"/>
                <w:szCs w:val="24"/>
              </w:rPr>
            </w:pPr>
            <w:r>
              <w:rPr>
                <w:rFonts w:hint="eastAsia" w:ascii="宋体" w:hAnsi="宋体"/>
                <w:iCs/>
                <w:sz w:val="24"/>
                <w:szCs w:val="24"/>
              </w:rPr>
              <w:t>（www.creditchina.gov.cn）列入失信被执行人、重大税收违法案件当事人名单、政府采购严重失信行为记录名单。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rPr>
                <w:rFonts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ind w:firstLine="480" w:firstLineChars="200"/>
              <w:jc w:val="center"/>
              <w:rPr>
                <w:rFonts w:ascii="宋体" w:hAnsi="宋体"/>
                <w:iCs/>
                <w:sz w:val="24"/>
                <w:szCs w:val="24"/>
              </w:rPr>
            </w:pP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vAlign w:val="center"/>
          </w:tcPr>
          <w:p>
            <w:pPr>
              <w:jc w:val="center"/>
              <w:rPr>
                <w:rFonts w:ascii="宋体" w:hAnsi="宋体"/>
                <w:sz w:val="24"/>
                <w:szCs w:val="21"/>
              </w:rPr>
            </w:pPr>
          </w:p>
        </w:tc>
        <w:tc>
          <w:tcPr>
            <w:tcW w:w="5245" w:type="dxa"/>
            <w:vAlign w:val="center"/>
          </w:tcPr>
          <w:p>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bl>
    <w:p>
      <w:pPr>
        <w:autoSpaceDE w:val="0"/>
        <w:autoSpaceDN w:val="0"/>
        <w:adjustRightInd w:val="0"/>
        <w:ind w:firstLine="309"/>
        <w:rPr>
          <w:rFonts w:ascii="宋体" w:cs="宋体"/>
          <w:b/>
          <w:sz w:val="24"/>
          <w:szCs w:val="24"/>
          <w:lang w:val="zh-CN"/>
        </w:rPr>
      </w:pPr>
    </w:p>
    <w:p>
      <w:pPr>
        <w:autoSpaceDE w:val="0"/>
        <w:autoSpaceDN w:val="0"/>
        <w:adjustRightInd w:val="0"/>
        <w:ind w:firstLine="309"/>
        <w:rPr>
          <w:rFonts w:ascii="宋体" w:cs="宋体"/>
          <w:b/>
          <w:sz w:val="24"/>
          <w:szCs w:val="24"/>
          <w:lang w:val="zh-CN"/>
        </w:rPr>
      </w:pPr>
    </w:p>
    <w:p>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3969" w:type="dxa"/>
            <w:vAlign w:val="center"/>
          </w:tcPr>
          <w:p>
            <w:pPr>
              <w:snapToGrid w:val="0"/>
              <w:jc w:val="center"/>
              <w:rPr>
                <w:rFonts w:ascii="宋体" w:hAnsi="宋体"/>
                <w:b/>
                <w:sz w:val="24"/>
                <w:szCs w:val="21"/>
              </w:rPr>
            </w:pPr>
            <w:r>
              <w:rPr>
                <w:rFonts w:hint="eastAsia" w:ascii="宋体" w:hAnsi="宋体"/>
                <w:b/>
                <w:sz w:val="24"/>
                <w:szCs w:val="21"/>
              </w:rPr>
              <w:t>招标文件中的实质性要求和条件</w:t>
            </w:r>
          </w:p>
        </w:tc>
        <w:tc>
          <w:tcPr>
            <w:tcW w:w="1985"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1</w:t>
            </w:r>
          </w:p>
        </w:tc>
        <w:tc>
          <w:tcPr>
            <w:tcW w:w="3969" w:type="dxa"/>
            <w:vAlign w:val="center"/>
          </w:tcPr>
          <w:p>
            <w:pPr>
              <w:snapToGrid w:val="0"/>
              <w:ind w:firstLine="480" w:firstLineChars="200"/>
              <w:jc w:val="center"/>
              <w:rPr>
                <w:rFonts w:ascii="宋体" w:hAnsi="宋体"/>
                <w:iCs/>
                <w:sz w:val="24"/>
                <w:szCs w:val="24"/>
              </w:rPr>
            </w:pPr>
          </w:p>
        </w:tc>
        <w:tc>
          <w:tcPr>
            <w:tcW w:w="1985" w:type="dxa"/>
            <w:vAlign w:val="center"/>
          </w:tcPr>
          <w:p>
            <w:pPr>
              <w:ind w:firstLine="482" w:firstLineChars="200"/>
              <w:jc w:val="center"/>
              <w:rPr>
                <w:rFonts w:ascii="宋体" w:hAnsi="宋体"/>
                <w:b/>
                <w:sz w:val="24"/>
                <w:szCs w:val="21"/>
              </w:rPr>
            </w:pPr>
          </w:p>
        </w:tc>
        <w:tc>
          <w:tcPr>
            <w:tcW w:w="2787"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2</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3</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4</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5</w:t>
            </w:r>
          </w:p>
        </w:tc>
        <w:tc>
          <w:tcPr>
            <w:tcW w:w="3969"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w:t>
            </w: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pPr>
        <w:autoSpaceDE w:val="0"/>
        <w:autoSpaceDN w:val="0"/>
        <w:adjustRightInd w:val="0"/>
        <w:spacing w:line="480" w:lineRule="exact"/>
        <w:ind w:firstLine="480" w:firstLineChars="200"/>
        <w:rPr>
          <w:rFonts w:ascii="宋体" w:hAnsi="宋体" w:cs="宋体"/>
          <w:szCs w:val="21"/>
          <w:lang w:val="zh-CN"/>
        </w:rPr>
      </w:pPr>
      <w:r>
        <w:rPr>
          <w:rFonts w:hint="eastAsia" w:ascii="宋体" w:hAnsi="宋体" w:cs="宋体"/>
          <w:sz w:val="24"/>
          <w:szCs w:val="24"/>
          <w:lang w:val="zh-CN"/>
        </w:rPr>
        <w:t>文件</w:t>
      </w:r>
      <w:r>
        <w:rPr>
          <w:rFonts w:hint="eastAsia" w:ascii="宋体" w:hAnsi="宋体" w:cs="仿宋_GB2312"/>
          <w:sz w:val="24"/>
          <w:szCs w:val="24"/>
          <w:lang w:val="zh-CN"/>
        </w:rPr>
        <w:t xml:space="preserve">6 </w:t>
      </w:r>
      <w:r>
        <w:rPr>
          <w:rFonts w:ascii="宋体" w:hAnsi="宋体" w:cs="宋体"/>
          <w:szCs w:val="21"/>
          <w:lang w:val="zh-CN"/>
        </w:rPr>
        <w:t xml:space="preserve"> </w:t>
      </w:r>
      <w:r>
        <w:rPr>
          <w:rFonts w:hint="eastAsia" w:ascii="宋体" w:hAnsi="宋体"/>
          <w:bCs/>
          <w:sz w:val="24"/>
          <w:szCs w:val="24"/>
        </w:rPr>
        <w:t>食品经营许可证复印件</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pPr>
        <w:autoSpaceDE w:val="0"/>
        <w:autoSpaceDN w:val="0"/>
        <w:adjustRightInd w:val="0"/>
        <w:spacing w:line="440" w:lineRule="exact"/>
        <w:ind w:left="239" w:firstLine="240"/>
        <w:jc w:val="left"/>
        <w:rPr>
          <w:rFonts w:ascii="宋体" w:cs="宋体"/>
          <w:sz w:val="24"/>
          <w:szCs w:val="24"/>
        </w:rPr>
      </w:pPr>
    </w:p>
    <w:p>
      <w:pPr>
        <w:pageBreakBefore/>
        <w:autoSpaceDE w:val="0"/>
        <w:autoSpaceDN w:val="0"/>
        <w:adjustRightInd w:val="0"/>
        <w:spacing w:line="440" w:lineRule="exact"/>
        <w:jc w:val="center"/>
        <w:rPr>
          <w:rFonts w:ascii="宋体" w:hAnsi="宋体" w:cs="黑体"/>
          <w:sz w:val="32"/>
          <w:szCs w:val="32"/>
          <w:lang w:val="zh-CN"/>
        </w:rPr>
      </w:pPr>
      <w:bookmarkStart w:id="35" w:name="_Toc147481989"/>
      <w:bookmarkStart w:id="36" w:name="_Toc147482219"/>
      <w:r>
        <w:rPr>
          <w:rFonts w:hint="eastAsia" w:ascii="宋体" w:hAnsi="宋体" w:cs="宋体"/>
          <w:b/>
          <w:bCs/>
          <w:sz w:val="32"/>
          <w:szCs w:val="32"/>
          <w:lang w:val="zh-CN"/>
        </w:rPr>
        <w:t>具备履行合同所必需的设备和专业技术能力的书面声明</w:t>
      </w:r>
      <w:bookmarkEnd w:id="35"/>
      <w:bookmarkEnd w:id="36"/>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jc w:val="center"/>
        <w:rPr>
          <w:rFonts w:ascii="宋体" w:hAnsi="宋体" w:cs="宋体"/>
          <w:b/>
          <w:bCs/>
          <w:sz w:val="32"/>
          <w:szCs w:val="32"/>
          <w:lang w:val="zh-CN"/>
        </w:rPr>
      </w:pPr>
      <w:bookmarkStart w:id="37" w:name="_Toc147482220"/>
      <w:bookmarkStart w:id="38" w:name="_Toc147481990"/>
      <w:r>
        <w:rPr>
          <w:rFonts w:hint="eastAsia" w:ascii="宋体" w:hAnsi="宋体" w:cs="宋体"/>
          <w:b/>
          <w:bCs/>
          <w:sz w:val="32"/>
          <w:szCs w:val="32"/>
          <w:lang w:val="zh-CN"/>
        </w:rPr>
        <w:t>参加采购活动前三年内在经营活动中没有重大违法记录的书面声明</w:t>
      </w:r>
      <w:bookmarkEnd w:id="37"/>
      <w:bookmarkEnd w:id="38"/>
    </w:p>
    <w:p>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rPr>
          <w:rFonts w:ascii="宋体" w:cs="宋体"/>
          <w:b/>
          <w:bCs/>
          <w:sz w:val="44"/>
          <w:szCs w:val="44"/>
          <w:lang w:val="zh-CN"/>
        </w:rPr>
      </w:pPr>
    </w:p>
    <w:p>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jc w:val="center"/>
        <w:rPr>
          <w:rFonts w:ascii="宋体" w:hAnsi="宋体" w:cs="宋体"/>
          <w:b/>
          <w:bCs/>
          <w:sz w:val="32"/>
          <w:szCs w:val="32"/>
          <w:lang w:val="zh-CN"/>
        </w:rPr>
      </w:pPr>
      <w:bookmarkStart w:id="39" w:name="_Toc147481991"/>
      <w:bookmarkStart w:id="40" w:name="_Toc147482221"/>
      <w:r>
        <w:rPr>
          <w:rFonts w:hint="eastAsia" w:ascii="宋体" w:hAnsi="宋体" w:cs="宋体"/>
          <w:b/>
          <w:bCs/>
          <w:sz w:val="32"/>
          <w:szCs w:val="32"/>
          <w:lang w:val="zh-CN"/>
        </w:rPr>
        <w:t>法人授权书</w:t>
      </w:r>
      <w:bookmarkEnd w:id="39"/>
      <w:bookmarkEnd w:id="40"/>
    </w:p>
    <w:p>
      <w:pPr>
        <w:tabs>
          <w:tab w:val="left" w:pos="360"/>
        </w:tabs>
        <w:autoSpaceDE w:val="0"/>
        <w:autoSpaceDN w:val="0"/>
        <w:adjustRightInd w:val="0"/>
        <w:ind w:firstLine="480"/>
        <w:rPr>
          <w:rFonts w:ascii="宋体" w:cs="宋体"/>
          <w:sz w:val="24"/>
          <w:szCs w:val="24"/>
          <w:lang w:val="zh-CN"/>
        </w:rPr>
      </w:pPr>
    </w:p>
    <w:p>
      <w:pPr>
        <w:tabs>
          <w:tab w:val="left" w:pos="360"/>
        </w:tabs>
        <w:autoSpaceDE w:val="0"/>
        <w:autoSpaceDN w:val="0"/>
        <w:adjustRightInd w:val="0"/>
        <w:spacing w:line="440" w:lineRule="exact"/>
        <w:ind w:firstLine="480"/>
        <w:rPr>
          <w:rFonts w:ascii="宋体" w:cs="宋体"/>
          <w:sz w:val="24"/>
          <w:szCs w:val="24"/>
          <w:lang w:val="zh-CN"/>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pPr>
        <w:tabs>
          <w:tab w:val="left" w:pos="360"/>
        </w:tabs>
        <w:autoSpaceDE w:val="0"/>
        <w:autoSpaceDN w:val="0"/>
        <w:adjustRightInd w:val="0"/>
        <w:spacing w:line="440" w:lineRule="exact"/>
        <w:rPr>
          <w:sz w:val="24"/>
          <w:szCs w:val="24"/>
        </w:rPr>
      </w:pPr>
      <w:r>
        <w:rPr>
          <w:sz w:val="24"/>
          <w:szCs w:val="24"/>
        </w:rPr>
        <w:t xml:space="preserve">          </w:t>
      </w:r>
    </w:p>
    <w:p>
      <w:pPr>
        <w:tabs>
          <w:tab w:val="left" w:pos="360"/>
        </w:tabs>
        <w:autoSpaceDE w:val="0"/>
        <w:autoSpaceDN w:val="0"/>
        <w:adjustRightInd w:val="0"/>
        <w:spacing w:line="440" w:lineRule="exact"/>
        <w:rPr>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autoSpaceDE w:val="0"/>
        <w:autoSpaceDN w:val="0"/>
        <w:adjustRightInd w:val="0"/>
        <w:spacing w:line="560" w:lineRule="exact"/>
        <w:rPr>
          <w:rFonts w:ascii="黑体" w:eastAsia="黑体" w:cs="黑体"/>
          <w:b/>
          <w:bCs/>
          <w:sz w:val="32"/>
          <w:szCs w:val="32"/>
          <w:lang w:val="zh-CN"/>
        </w:rPr>
      </w:pPr>
    </w:p>
    <w:p>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pPr>
              <w:keepNext/>
              <w:keepLines/>
              <w:autoSpaceDE w:val="0"/>
              <w:autoSpaceDN w:val="0"/>
              <w:adjustRightInd w:val="0"/>
              <w:spacing w:line="420" w:lineRule="exact"/>
              <w:jc w:val="center"/>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pPr>
              <w:autoSpaceDE w:val="0"/>
              <w:autoSpaceDN w:val="0"/>
              <w:adjustRightInd w:val="0"/>
              <w:spacing w:line="420" w:lineRule="exact"/>
              <w:jc w:val="center"/>
              <w:rPr>
                <w:rFonts w:ascii="宋体" w:hAnsi="宋体"/>
                <w:sz w:val="24"/>
                <w:szCs w:val="24"/>
              </w:rPr>
            </w:pPr>
            <w:r>
              <w:rPr>
                <w:rFonts w:hint="eastAsia" w:ascii="宋体" w:hAnsi="宋体"/>
                <w:sz w:val="24"/>
                <w:szCs w:val="24"/>
              </w:rPr>
              <w:t>综合投标报价</w:t>
            </w:r>
          </w:p>
          <w:p>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（即所有产品小计价格的总和作为综合投标报价）</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pPr>
              <w:autoSpaceDE w:val="0"/>
              <w:autoSpaceDN w:val="0"/>
              <w:adjustRightInd w:val="0"/>
              <w:spacing w:line="420" w:lineRule="exact"/>
              <w:rPr>
                <w:rFonts w:ascii="宋体" w:hAnsi="Arial" w:cs="宋体"/>
                <w:sz w:val="24"/>
                <w:lang w:val="zh-CN"/>
              </w:rPr>
            </w:pPr>
          </w:p>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pPr>
              <w:autoSpaceDE w:val="0"/>
              <w:autoSpaceDN w:val="0"/>
              <w:adjustRightInd w:val="0"/>
              <w:spacing w:line="420" w:lineRule="exact"/>
              <w:rPr>
                <w:rFonts w:ascii="宋体" w:hAnsi="Arial" w:cs="宋体"/>
                <w:color w:val="FF000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Arial" w:cs="宋体"/>
                <w:bCs/>
                <w:sz w:val="24"/>
                <w:szCs w:val="24"/>
                <w:lang w:val="zh-CN"/>
              </w:rPr>
            </w:pPr>
            <w:r>
              <w:rPr>
                <w:rFonts w:hint="eastAsia" w:ascii="宋体" w:hAnsi="Arial" w:cs="宋体"/>
                <w:bCs/>
                <w:sz w:val="24"/>
                <w:szCs w:val="24"/>
                <w:lang w:val="zh-CN"/>
              </w:rPr>
              <w:t>核心产品品牌</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20" w:lineRule="exact"/>
              <w:rPr>
                <w:rFonts w:ascii="宋体" w:hAnsi="Arial" w:cs="宋体"/>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328"/>
        <w:gridCol w:w="850"/>
        <w:gridCol w:w="1366"/>
        <w:gridCol w:w="1159"/>
        <w:gridCol w:w="1181"/>
        <w:gridCol w:w="1867"/>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7"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序号</w:t>
            </w:r>
          </w:p>
        </w:tc>
        <w:tc>
          <w:tcPr>
            <w:tcW w:w="1328"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名称</w:t>
            </w:r>
          </w:p>
        </w:tc>
        <w:tc>
          <w:tcPr>
            <w:tcW w:w="850"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指导</w:t>
            </w:r>
          </w:p>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品牌</w:t>
            </w:r>
          </w:p>
        </w:tc>
        <w:tc>
          <w:tcPr>
            <w:tcW w:w="1366"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商品规格</w:t>
            </w:r>
          </w:p>
        </w:tc>
        <w:tc>
          <w:tcPr>
            <w:tcW w:w="1159"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预计采购量（斤）</w:t>
            </w:r>
          </w:p>
        </w:tc>
        <w:tc>
          <w:tcPr>
            <w:tcW w:w="1181"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最高限价（元/斤）</w:t>
            </w:r>
          </w:p>
        </w:tc>
        <w:tc>
          <w:tcPr>
            <w:tcW w:w="1867"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投标单价（元/斤）</w:t>
            </w:r>
          </w:p>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（小数点后2位）</w:t>
            </w:r>
          </w:p>
        </w:tc>
        <w:tc>
          <w:tcPr>
            <w:tcW w:w="1176"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投标总价（元）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绵白糖</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甘福源</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50kg/袋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3.98</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砂糖</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广东</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50kg/袋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4.10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豆瓣酱</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川妞</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6kg/箱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6600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4.58</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豆豉酱</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老干妈</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280g*24瓶/箱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500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16.36</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黄豆酱</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6kg*2桶/箱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5.20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香辣酱</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天车</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350g*24瓶/箱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420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13.10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甜面酱</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天车</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500g*12瓶/箱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180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9.58</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8</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麻辣鲜</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王守义</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46g*110袋/箱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15.80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9</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海鲜酱</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7kg*2桶/箱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5040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4.64</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10</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番茄酱</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风球唛</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850g*12听/箱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2200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6.86</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11</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清真番茄酱</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西部红</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3kg*6听/箱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6480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5.14</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12</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纯芝麻油</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燕庄</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398ml*12瓶/箱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688</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25.60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13</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蒸鱼豉油</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中蓝</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1.9L*6壶/箱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1700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6.36</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14</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蚝油</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6kg*2桶/箱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3840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3.13</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15</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食盐</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淮牌</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400g*50袋/箱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15200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1.13</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16</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味精</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滕花</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25kg/袋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10500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5.70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17</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鸡精</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桃源乐</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900g*10袋/箱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4140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11.39</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18</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清真鸡精</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桃源乐</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900g*10袋/箱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390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11.39</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19</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南乳汁</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鼎丰</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560ml*12瓶/箱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215</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7.44</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20</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火锅底料</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百信</w:t>
            </w:r>
          </w:p>
        </w:tc>
        <w:tc>
          <w:tcPr>
            <w:tcW w:w="1366"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150g*60袋/箱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900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15.83</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21</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三五底料</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三五</w:t>
            </w:r>
          </w:p>
        </w:tc>
        <w:tc>
          <w:tcPr>
            <w:tcW w:w="1366"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150g*60袋/箱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1044</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15.55</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22</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排骨汤料</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桃源乐</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908g*10袋/箱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1800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7.98</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23</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胡椒粉</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亚洁</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330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45.00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24</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花椒（好）</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180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45.00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25</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无籽无盐辣椒段</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1000g/袋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16.00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26</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辣椒粉</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348</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27</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粗椒粉</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28</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细椒粉</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108</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29</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五香粉</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120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25.00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30</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十三香</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王守义</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45g*100盒/箱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270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33.33</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31</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孜然粉</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28.00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32</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桂皮</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70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15.00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33</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八角</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260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45.00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34</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白芷</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30.00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35</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咖喱粉</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10.00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36</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剁椒</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湘妹</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2kg*6桶/箱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2.71</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37</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香醋（袋）</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恒顺</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340ml*30袋/箱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4700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2.70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38</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香醋（瓶）</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恒顺</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550ml*12瓶/箱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568</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5.90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39</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白醋</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镇江金焦</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500ml*12瓶/箱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900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2.92</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40</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海天老抽</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1366"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1.9L*6壶/箱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1900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4.30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41</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生抽</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1366"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1.9L*6壶/箱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4800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3.51</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42</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老抽</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味美家</w:t>
            </w:r>
          </w:p>
        </w:tc>
        <w:tc>
          <w:tcPr>
            <w:tcW w:w="1366"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2.5L*6壶/箱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3600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3.17</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43</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料酒</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味美家</w:t>
            </w:r>
          </w:p>
        </w:tc>
        <w:tc>
          <w:tcPr>
            <w:tcW w:w="1366"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5L*4壶/箱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1.75</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44</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酵母</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喜福来</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500g*20只/箱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560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14.00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45</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泡打粉</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钻星</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500g*20袋/箱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10.00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46</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小苏打</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山花</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150g*100袋/箱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6.00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47</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炒饭香料</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15.00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48</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面包糠</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前黄</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750g*10袋/箱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4.33</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49</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特味浓奥尔良腌制料</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特味浓</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1kg*20袋/箱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2720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10.25</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50</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黄焖鸡酱料</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新青大</w:t>
            </w:r>
          </w:p>
        </w:tc>
        <w:tc>
          <w:tcPr>
            <w:tcW w:w="1366"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3kg/桶</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1680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10.00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51</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食用碱</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山花</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150g*100袋/箱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6.00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52</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淀粉</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恒仁</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25kg/袋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4250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2.40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53</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泰式甜辣酱</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德生</w:t>
            </w:r>
          </w:p>
        </w:tc>
        <w:tc>
          <w:tcPr>
            <w:tcW w:w="1366"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655g*12瓶/箱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157</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4.77</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54</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米醋</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双鱼</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250ml*40袋/箱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55</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红曲米</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12.00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56</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干灯笼椒</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35.00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57</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重庆小面</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新青大</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1kg*10瓶/箱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2400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19.00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58</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方便面</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双宇</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2.8kg/箱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8400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3.40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59</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无核红枣</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7.5kg/箱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13.00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60</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红枣</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10kg/箱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9.00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61</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葡萄干</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7.5kg/箱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12.00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62</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梅干菜</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慈晟</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63</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干香菇</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林彦达</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340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42.00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64</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干木耳</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林彦达</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660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42.00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65</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银耳</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林彦达</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35.00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66</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肉松</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益鹏</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2.5kg*6袋/箱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1200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10.00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67</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红油片</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杨荣</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8kg/箱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2.80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68</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榨菜丝</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老彭</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5kg/箱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700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3.80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69</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酸菜</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四阿哥</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1.25</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70</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鱼酸菜</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三极禾</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1.25</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71</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雪菜</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杨天</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7.5kg/箱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6300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2.20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72</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多味雪菜</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杨荣</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8.5kg/箱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170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3.23</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73</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菜脯王</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永超</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4.5kg/箱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4.20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74</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小米辣</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阿倩嫂</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2kg*6袋/箱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1200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1.88</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75</w:t>
            </w:r>
          </w:p>
        </w:tc>
        <w:tc>
          <w:tcPr>
            <w:tcW w:w="1328"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泡豇豆</w:t>
            </w:r>
          </w:p>
        </w:tc>
        <w:tc>
          <w:tcPr>
            <w:tcW w:w="85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四阿哥</w:t>
            </w:r>
          </w:p>
        </w:tc>
        <w:tc>
          <w:tcPr>
            <w:tcW w:w="1366"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1kg*10袋/箱</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1.80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76</w:t>
            </w:r>
          </w:p>
        </w:tc>
        <w:tc>
          <w:tcPr>
            <w:tcW w:w="1328"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米线</w:t>
            </w:r>
          </w:p>
        </w:tc>
        <w:tc>
          <w:tcPr>
            <w:tcW w:w="850"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王仁和</w:t>
            </w:r>
          </w:p>
        </w:tc>
        <w:tc>
          <w:tcPr>
            <w:tcW w:w="1366" w:type="dxa"/>
            <w:vAlign w:val="center"/>
          </w:tcPr>
          <w:p>
            <w:pPr>
              <w:widowControl/>
              <w:jc w:val="center"/>
              <w:textAlignment w:val="center"/>
              <w:rPr>
                <w:rFonts w:ascii="宋体" w:hAnsi="宋体" w:cs="宋体"/>
                <w:kern w:val="0"/>
                <w:szCs w:val="21"/>
                <w:lang w:bidi="ar"/>
              </w:rPr>
            </w:pPr>
          </w:p>
        </w:tc>
        <w:tc>
          <w:tcPr>
            <w:tcW w:w="1159"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1000</w:t>
            </w:r>
          </w:p>
        </w:tc>
        <w:tc>
          <w:tcPr>
            <w:tcW w:w="1181"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3.50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77</w:t>
            </w:r>
          </w:p>
        </w:tc>
        <w:tc>
          <w:tcPr>
            <w:tcW w:w="1328"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粉丝</w:t>
            </w:r>
          </w:p>
        </w:tc>
        <w:tc>
          <w:tcPr>
            <w:tcW w:w="850"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柳絮</w:t>
            </w:r>
          </w:p>
        </w:tc>
        <w:tc>
          <w:tcPr>
            <w:tcW w:w="1366" w:type="dxa"/>
            <w:vAlign w:val="center"/>
          </w:tcPr>
          <w:p>
            <w:pPr>
              <w:widowControl/>
              <w:jc w:val="center"/>
              <w:textAlignment w:val="center"/>
              <w:rPr>
                <w:rFonts w:ascii="宋体" w:hAnsi="宋体" w:cs="宋体"/>
                <w:kern w:val="0"/>
                <w:szCs w:val="21"/>
                <w:lang w:bidi="ar"/>
              </w:rPr>
            </w:pPr>
          </w:p>
        </w:tc>
        <w:tc>
          <w:tcPr>
            <w:tcW w:w="1159"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2000</w:t>
            </w:r>
          </w:p>
        </w:tc>
        <w:tc>
          <w:tcPr>
            <w:tcW w:w="1181" w:type="dxa"/>
            <w:vAlign w:val="center"/>
          </w:tcPr>
          <w:p>
            <w:pPr>
              <w:spacing w:line="240" w:lineRule="exact"/>
              <w:jc w:val="center"/>
              <w:rPr>
                <w:rFonts w:ascii="宋体" w:hAnsi="宋体" w:cs="宋体"/>
                <w:szCs w:val="21"/>
              </w:rPr>
            </w:pPr>
            <w:r>
              <w:rPr>
                <w:rFonts w:hint="eastAsia" w:ascii="宋体" w:hAnsi="宋体" w:cs="宋体"/>
                <w:szCs w:val="21"/>
              </w:rPr>
              <w:t>5.50</w:t>
            </w: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85" w:type="dxa"/>
            <w:gridSpan w:val="2"/>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合  计</w:t>
            </w:r>
          </w:p>
        </w:tc>
        <w:tc>
          <w:tcPr>
            <w:tcW w:w="850" w:type="dxa"/>
            <w:vAlign w:val="center"/>
          </w:tcPr>
          <w:p>
            <w:pPr>
              <w:jc w:val="center"/>
              <w:rPr>
                <w:rFonts w:cs="宋体" w:asciiTheme="minorEastAsia" w:hAnsiTheme="minorEastAsia" w:eastAsiaTheme="minorEastAsia"/>
                <w:szCs w:val="21"/>
              </w:rPr>
            </w:pPr>
          </w:p>
        </w:tc>
        <w:tc>
          <w:tcPr>
            <w:tcW w:w="1366" w:type="dxa"/>
            <w:vAlign w:val="center"/>
          </w:tcPr>
          <w:p>
            <w:pPr>
              <w:jc w:val="center"/>
              <w:rPr>
                <w:rFonts w:cs="宋体" w:asciiTheme="minorEastAsia" w:hAnsiTheme="minorEastAsia" w:eastAsiaTheme="minorEastAsia"/>
                <w:szCs w:val="21"/>
              </w:rPr>
            </w:pPr>
          </w:p>
        </w:tc>
        <w:tc>
          <w:tcPr>
            <w:tcW w:w="1159" w:type="dxa"/>
            <w:vAlign w:val="center"/>
          </w:tcPr>
          <w:p>
            <w:pPr>
              <w:jc w:val="center"/>
              <w:rPr>
                <w:rFonts w:cs="宋体" w:asciiTheme="minorEastAsia" w:hAnsiTheme="minorEastAsia" w:eastAsiaTheme="minorEastAsia"/>
                <w:szCs w:val="21"/>
              </w:rPr>
            </w:pPr>
          </w:p>
        </w:tc>
        <w:tc>
          <w:tcPr>
            <w:tcW w:w="1181" w:type="dxa"/>
            <w:vAlign w:val="center"/>
          </w:tcPr>
          <w:p>
            <w:pPr>
              <w:jc w:val="center"/>
              <w:rPr>
                <w:rFonts w:cs="宋体" w:asciiTheme="minorEastAsia" w:hAnsiTheme="minorEastAsia" w:eastAsiaTheme="minorEastAsia"/>
                <w:szCs w:val="21"/>
              </w:rPr>
            </w:pPr>
          </w:p>
        </w:tc>
        <w:tc>
          <w:tcPr>
            <w:tcW w:w="1867" w:type="dxa"/>
            <w:vAlign w:val="center"/>
          </w:tcPr>
          <w:p>
            <w:pPr>
              <w:jc w:val="center"/>
              <w:rPr>
                <w:rFonts w:cs="宋体" w:asciiTheme="minorEastAsia" w:hAnsiTheme="minorEastAsia" w:eastAsiaTheme="minorEastAsia"/>
                <w:szCs w:val="21"/>
              </w:rPr>
            </w:pPr>
          </w:p>
        </w:tc>
        <w:tc>
          <w:tcPr>
            <w:tcW w:w="1176" w:type="dxa"/>
            <w:vAlign w:val="center"/>
          </w:tcPr>
          <w:p>
            <w:pPr>
              <w:jc w:val="center"/>
              <w:rPr>
                <w:rFonts w:cs="宋体" w:asciiTheme="minorEastAsia" w:hAnsiTheme="minorEastAsia" w:eastAsiaTheme="minorEastAsia"/>
                <w:szCs w:val="21"/>
              </w:rPr>
            </w:pPr>
          </w:p>
        </w:tc>
      </w:tr>
    </w:tbl>
    <w:p>
      <w:pPr>
        <w:autoSpaceDE w:val="0"/>
        <w:autoSpaceDN w:val="0"/>
        <w:adjustRightInd w:val="0"/>
        <w:spacing w:line="340" w:lineRule="exact"/>
        <w:ind w:firstLine="420" w:firstLineChars="200"/>
        <w:rPr>
          <w:rFonts w:ascii="宋体" w:hAnsi="宋体" w:cs="宋体"/>
          <w:color w:val="000000"/>
          <w:kern w:val="0"/>
          <w:szCs w:val="21"/>
        </w:rPr>
      </w:pPr>
      <w:r>
        <w:rPr>
          <w:rFonts w:hint="eastAsia" w:ascii="宋体" w:hAnsi="宋体" w:cs="宋体"/>
          <w:color w:val="000000"/>
          <w:kern w:val="0"/>
          <w:szCs w:val="21"/>
        </w:rPr>
        <w:t>注：1.所有规格以斤为单位进行报价，换算方式1kg=2斤，1L=2斤，麻油1L=1.84斤。</w:t>
      </w:r>
    </w:p>
    <w:p>
      <w:pPr>
        <w:autoSpaceDE w:val="0"/>
        <w:autoSpaceDN w:val="0"/>
        <w:adjustRightInd w:val="0"/>
        <w:spacing w:line="340" w:lineRule="exact"/>
        <w:ind w:firstLine="420" w:firstLineChars="200"/>
        <w:rPr>
          <w:rFonts w:ascii="宋体" w:hAnsi="宋体" w:cs="宋体"/>
          <w:color w:val="000000"/>
          <w:kern w:val="0"/>
          <w:szCs w:val="21"/>
        </w:rPr>
      </w:pPr>
      <w:r>
        <w:rPr>
          <w:rFonts w:hint="eastAsia" w:ascii="宋体" w:hAnsi="宋体" w:cs="宋体"/>
          <w:color w:val="000000"/>
          <w:kern w:val="0"/>
          <w:szCs w:val="21"/>
        </w:rPr>
        <w:t>2.投标人报价不得高于最高限价，否则为无效报价。</w:t>
      </w:r>
    </w:p>
    <w:p>
      <w:pPr>
        <w:autoSpaceDE w:val="0"/>
        <w:autoSpaceDN w:val="0"/>
        <w:adjustRightInd w:val="0"/>
        <w:spacing w:line="340" w:lineRule="exact"/>
        <w:ind w:firstLine="420" w:firstLineChars="200"/>
        <w:rPr>
          <w:rFonts w:ascii="宋体" w:hAnsi="Arial" w:cs="宋体"/>
          <w:szCs w:val="21"/>
        </w:rPr>
      </w:pPr>
      <w:r>
        <w:rPr>
          <w:rFonts w:hint="eastAsia" w:ascii="宋体" w:hAnsi="宋体" w:cs="宋体"/>
          <w:color w:val="000000"/>
          <w:kern w:val="0"/>
          <w:szCs w:val="21"/>
        </w:rPr>
        <w:t>3.供货期内价格不得调整。</w:t>
      </w:r>
    </w:p>
    <w:p>
      <w:pPr>
        <w:autoSpaceDE w:val="0"/>
        <w:autoSpaceDN w:val="0"/>
        <w:adjustRightInd w:val="0"/>
        <w:spacing w:line="340" w:lineRule="exact"/>
        <w:ind w:firstLine="420" w:firstLineChars="200"/>
        <w:rPr>
          <w:rFonts w:ascii="宋体" w:hAnsi="Arial" w:cs="宋体"/>
          <w:szCs w:val="21"/>
        </w:rPr>
      </w:pPr>
      <w:r>
        <w:rPr>
          <w:rFonts w:hint="eastAsia" w:ascii="宋体" w:hAnsi="Arial" w:cs="宋体"/>
          <w:szCs w:val="21"/>
        </w:rPr>
        <w:t>4. 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公章、签字，违反任何一项均以废标处理。</w:t>
      </w:r>
    </w:p>
    <w:p>
      <w:pPr>
        <w:autoSpaceDE w:val="0"/>
        <w:autoSpaceDN w:val="0"/>
        <w:adjustRightInd w:val="0"/>
        <w:spacing w:line="340" w:lineRule="exact"/>
        <w:ind w:firstLine="420" w:firstLineChars="200"/>
        <w:rPr>
          <w:rFonts w:ascii="宋体" w:hAnsi="Arial" w:cs="宋体"/>
          <w:szCs w:val="21"/>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jc w:val="center"/>
        <w:rPr>
          <w:rFonts w:ascii="宋体" w:hAnsi="宋体" w:cs="楷体"/>
          <w:b/>
          <w:bCs/>
          <w:sz w:val="28"/>
          <w:szCs w:val="28"/>
        </w:rPr>
      </w:pPr>
    </w:p>
    <w:p>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ascii="宋体" w:hAnsi="Arial" w:cs="宋体"/>
          <w:sz w:val="24"/>
          <w:szCs w:val="24"/>
          <w:lang w:val="zh-CN"/>
        </w:rPr>
      </w:pPr>
    </w:p>
    <w:p>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440" w:lineRule="exact"/>
        <w:jc w:val="left"/>
        <w:rPr>
          <w:rFonts w:ascii="宋体" w:hAnsi="宋体" w:cs="宋体"/>
          <w:b/>
          <w:sz w:val="24"/>
          <w:szCs w:val="24"/>
        </w:rPr>
      </w:pPr>
      <w:r>
        <w:rPr>
          <w:rFonts w:hint="eastAsia" w:ascii="宋体" w:hAnsi="宋体" w:cs="宋体"/>
          <w:b/>
          <w:sz w:val="24"/>
          <w:szCs w:val="24"/>
        </w:rPr>
        <w:t>备注：</w:t>
      </w:r>
    </w:p>
    <w:p>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pPr>
        <w:spacing w:line="360" w:lineRule="auto"/>
        <w:ind w:firstLine="482" w:firstLineChars="200"/>
        <w:jc w:val="center"/>
        <w:rPr>
          <w:b/>
          <w:sz w:val="24"/>
          <w:szCs w:val="24"/>
        </w:rPr>
      </w:pPr>
    </w:p>
    <w:p>
      <w:pPr>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可行性实施方案、项目重点难点分析、应急处理工作方案</w:t>
      </w:r>
      <w:r>
        <w:rPr>
          <w:rFonts w:hint="eastAsia" w:ascii="宋体" w:hAnsi="宋体" w:cs="黑体"/>
          <w:b/>
          <w:sz w:val="32"/>
          <w:szCs w:val="32"/>
        </w:rPr>
        <w:t>和</w:t>
      </w:r>
      <w:r>
        <w:rPr>
          <w:rFonts w:hint="eastAsia" w:ascii="宋体" w:hAnsi="宋体" w:cs="黑体"/>
          <w:b/>
          <w:sz w:val="32"/>
          <w:szCs w:val="32"/>
          <w:lang w:val="zh-CN"/>
        </w:rPr>
        <w:t>预案、违约承诺</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modern"/>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19</w:t>
    </w:r>
    <w:r>
      <w:rPr>
        <w:rFonts w:ascii="宋体" w:hAnsi="宋体"/>
        <w:sz w:val="21"/>
        <w:szCs w:val="21"/>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44</w:t>
    </w:r>
    <w:r>
      <w:rPr>
        <w:rFonts w:ascii="宋体" w:hAnsi="宋体"/>
        <w:sz w:val="21"/>
        <w:szCs w:val="21"/>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45</w:t>
    </w:r>
    <w:r>
      <w:fldChar w:fldCharType="end"/>
    </w:r>
  </w:p>
  <w:p>
    <w:pPr>
      <w:pStyle w:val="1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OTZiYjg5ZDg1ZTQyMDJjMTQwZmExZDJhNDQzYTIifQ=="/>
  </w:docVars>
  <w:rsids>
    <w:rsidRoot w:val="002479F9"/>
    <w:rsid w:val="00001E59"/>
    <w:rsid w:val="00005A9C"/>
    <w:rsid w:val="00006091"/>
    <w:rsid w:val="00007EF1"/>
    <w:rsid w:val="00013777"/>
    <w:rsid w:val="00015E0B"/>
    <w:rsid w:val="00017F29"/>
    <w:rsid w:val="00023EB3"/>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2125"/>
    <w:rsid w:val="0009404A"/>
    <w:rsid w:val="00094224"/>
    <w:rsid w:val="00094BC2"/>
    <w:rsid w:val="00095E49"/>
    <w:rsid w:val="00096F4D"/>
    <w:rsid w:val="000A141F"/>
    <w:rsid w:val="000A190D"/>
    <w:rsid w:val="000A35CE"/>
    <w:rsid w:val="000A4E3E"/>
    <w:rsid w:val="000A6ADE"/>
    <w:rsid w:val="000B41DE"/>
    <w:rsid w:val="000B4856"/>
    <w:rsid w:val="000B4EF8"/>
    <w:rsid w:val="000B5165"/>
    <w:rsid w:val="000B761E"/>
    <w:rsid w:val="000C18E1"/>
    <w:rsid w:val="000C2C48"/>
    <w:rsid w:val="000D0B12"/>
    <w:rsid w:val="000D0FF2"/>
    <w:rsid w:val="000D2DD4"/>
    <w:rsid w:val="000D38E7"/>
    <w:rsid w:val="000D5014"/>
    <w:rsid w:val="000E1C62"/>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0ECE"/>
    <w:rsid w:val="001519EC"/>
    <w:rsid w:val="00152E87"/>
    <w:rsid w:val="001531EF"/>
    <w:rsid w:val="00157A7A"/>
    <w:rsid w:val="001637F5"/>
    <w:rsid w:val="00164E61"/>
    <w:rsid w:val="001677C7"/>
    <w:rsid w:val="00171936"/>
    <w:rsid w:val="00181B8E"/>
    <w:rsid w:val="00181EA5"/>
    <w:rsid w:val="001825FC"/>
    <w:rsid w:val="00185844"/>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1C04"/>
    <w:rsid w:val="002125B1"/>
    <w:rsid w:val="00217637"/>
    <w:rsid w:val="002178D7"/>
    <w:rsid w:val="0022371F"/>
    <w:rsid w:val="002249D0"/>
    <w:rsid w:val="00224C88"/>
    <w:rsid w:val="00225D93"/>
    <w:rsid w:val="00231182"/>
    <w:rsid w:val="00240F98"/>
    <w:rsid w:val="00243544"/>
    <w:rsid w:val="002479F9"/>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4C60"/>
    <w:rsid w:val="002A5036"/>
    <w:rsid w:val="002B074C"/>
    <w:rsid w:val="002B371E"/>
    <w:rsid w:val="002B538C"/>
    <w:rsid w:val="002B70A8"/>
    <w:rsid w:val="002C1852"/>
    <w:rsid w:val="002C672B"/>
    <w:rsid w:val="002D422D"/>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5DCD"/>
    <w:rsid w:val="003560E7"/>
    <w:rsid w:val="003567A3"/>
    <w:rsid w:val="00357856"/>
    <w:rsid w:val="00364AEE"/>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3F85"/>
    <w:rsid w:val="003B42E3"/>
    <w:rsid w:val="003B5E0A"/>
    <w:rsid w:val="003B628B"/>
    <w:rsid w:val="003C2B6E"/>
    <w:rsid w:val="003C5A23"/>
    <w:rsid w:val="003C78E8"/>
    <w:rsid w:val="003D13B0"/>
    <w:rsid w:val="003D4C6D"/>
    <w:rsid w:val="003D770E"/>
    <w:rsid w:val="003E43C4"/>
    <w:rsid w:val="003E4A5E"/>
    <w:rsid w:val="003E6292"/>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3745"/>
    <w:rsid w:val="00474638"/>
    <w:rsid w:val="00474D3D"/>
    <w:rsid w:val="00475A40"/>
    <w:rsid w:val="00477A41"/>
    <w:rsid w:val="00483D5C"/>
    <w:rsid w:val="004841DF"/>
    <w:rsid w:val="00485A55"/>
    <w:rsid w:val="00485D3B"/>
    <w:rsid w:val="004924AB"/>
    <w:rsid w:val="004A2056"/>
    <w:rsid w:val="004A507F"/>
    <w:rsid w:val="004A7329"/>
    <w:rsid w:val="004B04B7"/>
    <w:rsid w:val="004B0583"/>
    <w:rsid w:val="004B0F0A"/>
    <w:rsid w:val="004B2866"/>
    <w:rsid w:val="004B3A60"/>
    <w:rsid w:val="004B61E8"/>
    <w:rsid w:val="004C0589"/>
    <w:rsid w:val="004C1C93"/>
    <w:rsid w:val="004C2E99"/>
    <w:rsid w:val="004D093A"/>
    <w:rsid w:val="004D2E70"/>
    <w:rsid w:val="004D50DB"/>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3549"/>
    <w:rsid w:val="00525C4B"/>
    <w:rsid w:val="0053054F"/>
    <w:rsid w:val="005320A6"/>
    <w:rsid w:val="00533C25"/>
    <w:rsid w:val="00534351"/>
    <w:rsid w:val="00534667"/>
    <w:rsid w:val="00535815"/>
    <w:rsid w:val="00540408"/>
    <w:rsid w:val="005426D0"/>
    <w:rsid w:val="00546D66"/>
    <w:rsid w:val="00551EBA"/>
    <w:rsid w:val="00552555"/>
    <w:rsid w:val="00552790"/>
    <w:rsid w:val="005532DF"/>
    <w:rsid w:val="00555B65"/>
    <w:rsid w:val="00555BCA"/>
    <w:rsid w:val="00556065"/>
    <w:rsid w:val="00564E2D"/>
    <w:rsid w:val="005701E2"/>
    <w:rsid w:val="0057335A"/>
    <w:rsid w:val="0057669E"/>
    <w:rsid w:val="005779F1"/>
    <w:rsid w:val="005853D7"/>
    <w:rsid w:val="00585A45"/>
    <w:rsid w:val="00586156"/>
    <w:rsid w:val="00586463"/>
    <w:rsid w:val="005932DA"/>
    <w:rsid w:val="005958E5"/>
    <w:rsid w:val="00596FA3"/>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4462"/>
    <w:rsid w:val="006058B3"/>
    <w:rsid w:val="00606B22"/>
    <w:rsid w:val="006118D0"/>
    <w:rsid w:val="00611FCE"/>
    <w:rsid w:val="00613CB4"/>
    <w:rsid w:val="00614066"/>
    <w:rsid w:val="00614952"/>
    <w:rsid w:val="0061746B"/>
    <w:rsid w:val="006223C8"/>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6B5B"/>
    <w:rsid w:val="0069712D"/>
    <w:rsid w:val="006A1BB1"/>
    <w:rsid w:val="006A1F37"/>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90FC9"/>
    <w:rsid w:val="008A321E"/>
    <w:rsid w:val="008A375B"/>
    <w:rsid w:val="008A3EBF"/>
    <w:rsid w:val="008B5A15"/>
    <w:rsid w:val="008B5F8F"/>
    <w:rsid w:val="008B69F6"/>
    <w:rsid w:val="008B6A85"/>
    <w:rsid w:val="008C2636"/>
    <w:rsid w:val="008C3D10"/>
    <w:rsid w:val="008C42B6"/>
    <w:rsid w:val="008C57ED"/>
    <w:rsid w:val="008C7AA7"/>
    <w:rsid w:val="008D0EC8"/>
    <w:rsid w:val="008D2822"/>
    <w:rsid w:val="008D2B37"/>
    <w:rsid w:val="008D3595"/>
    <w:rsid w:val="008D48CB"/>
    <w:rsid w:val="008D6016"/>
    <w:rsid w:val="008E1168"/>
    <w:rsid w:val="008E628C"/>
    <w:rsid w:val="008E6EE2"/>
    <w:rsid w:val="008F0A48"/>
    <w:rsid w:val="008F4AAA"/>
    <w:rsid w:val="008F726D"/>
    <w:rsid w:val="00901E5D"/>
    <w:rsid w:val="009025DB"/>
    <w:rsid w:val="009031F6"/>
    <w:rsid w:val="00904058"/>
    <w:rsid w:val="00907CF6"/>
    <w:rsid w:val="00910EA7"/>
    <w:rsid w:val="00915B2B"/>
    <w:rsid w:val="009210A8"/>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33C"/>
    <w:rsid w:val="00943FE6"/>
    <w:rsid w:val="00943FE8"/>
    <w:rsid w:val="00944117"/>
    <w:rsid w:val="00945757"/>
    <w:rsid w:val="0096380D"/>
    <w:rsid w:val="0096530B"/>
    <w:rsid w:val="0096780B"/>
    <w:rsid w:val="00972899"/>
    <w:rsid w:val="00973521"/>
    <w:rsid w:val="0097627C"/>
    <w:rsid w:val="009771EB"/>
    <w:rsid w:val="009806DC"/>
    <w:rsid w:val="00984D15"/>
    <w:rsid w:val="00993241"/>
    <w:rsid w:val="00994465"/>
    <w:rsid w:val="00996046"/>
    <w:rsid w:val="00997C2B"/>
    <w:rsid w:val="009A2636"/>
    <w:rsid w:val="009A3FAD"/>
    <w:rsid w:val="009A5668"/>
    <w:rsid w:val="009A58F1"/>
    <w:rsid w:val="009B0DF7"/>
    <w:rsid w:val="009B12EA"/>
    <w:rsid w:val="009B2BA4"/>
    <w:rsid w:val="009B5A49"/>
    <w:rsid w:val="009C0F12"/>
    <w:rsid w:val="009C45C4"/>
    <w:rsid w:val="009D0237"/>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4023"/>
    <w:rsid w:val="00AB62EA"/>
    <w:rsid w:val="00AB67B3"/>
    <w:rsid w:val="00AC00B8"/>
    <w:rsid w:val="00AC2D9A"/>
    <w:rsid w:val="00AC2FE4"/>
    <w:rsid w:val="00AC5454"/>
    <w:rsid w:val="00AC5EFD"/>
    <w:rsid w:val="00AC6AF2"/>
    <w:rsid w:val="00AD0510"/>
    <w:rsid w:val="00AD4065"/>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71D2"/>
    <w:rsid w:val="00B578CD"/>
    <w:rsid w:val="00B60F32"/>
    <w:rsid w:val="00B64651"/>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534B"/>
    <w:rsid w:val="00BB5699"/>
    <w:rsid w:val="00BB68DB"/>
    <w:rsid w:val="00BB6BDD"/>
    <w:rsid w:val="00BB6FA1"/>
    <w:rsid w:val="00BB7E9C"/>
    <w:rsid w:val="00BC5151"/>
    <w:rsid w:val="00BC5506"/>
    <w:rsid w:val="00BC5918"/>
    <w:rsid w:val="00BD4510"/>
    <w:rsid w:val="00BD47CE"/>
    <w:rsid w:val="00BD4FAF"/>
    <w:rsid w:val="00BD6EF6"/>
    <w:rsid w:val="00BE0E03"/>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09AC"/>
    <w:rsid w:val="00C6151B"/>
    <w:rsid w:val="00C66BA6"/>
    <w:rsid w:val="00C71AD1"/>
    <w:rsid w:val="00C75E8C"/>
    <w:rsid w:val="00C77351"/>
    <w:rsid w:val="00C83104"/>
    <w:rsid w:val="00C8733A"/>
    <w:rsid w:val="00C924B3"/>
    <w:rsid w:val="00C95DEA"/>
    <w:rsid w:val="00CA084A"/>
    <w:rsid w:val="00CA273E"/>
    <w:rsid w:val="00CA5B7F"/>
    <w:rsid w:val="00CA5F0A"/>
    <w:rsid w:val="00CB139B"/>
    <w:rsid w:val="00CB283B"/>
    <w:rsid w:val="00CB5632"/>
    <w:rsid w:val="00CB6F62"/>
    <w:rsid w:val="00CC1D2A"/>
    <w:rsid w:val="00CC251B"/>
    <w:rsid w:val="00CC3251"/>
    <w:rsid w:val="00CC3BD2"/>
    <w:rsid w:val="00CC427F"/>
    <w:rsid w:val="00CD0150"/>
    <w:rsid w:val="00CD3A22"/>
    <w:rsid w:val="00CD558B"/>
    <w:rsid w:val="00CD58FF"/>
    <w:rsid w:val="00CD75B5"/>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2F26"/>
    <w:rsid w:val="00D94543"/>
    <w:rsid w:val="00D9490B"/>
    <w:rsid w:val="00D94E49"/>
    <w:rsid w:val="00D94E5E"/>
    <w:rsid w:val="00D94EFF"/>
    <w:rsid w:val="00D96938"/>
    <w:rsid w:val="00DA483C"/>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E6868"/>
    <w:rsid w:val="00EE6A10"/>
    <w:rsid w:val="00EE6B41"/>
    <w:rsid w:val="00EF09FC"/>
    <w:rsid w:val="00EF303D"/>
    <w:rsid w:val="00EF46D1"/>
    <w:rsid w:val="00EF56A2"/>
    <w:rsid w:val="00EF58F9"/>
    <w:rsid w:val="00EF6E50"/>
    <w:rsid w:val="00EF7E3D"/>
    <w:rsid w:val="00F0617C"/>
    <w:rsid w:val="00F109CE"/>
    <w:rsid w:val="00F120E4"/>
    <w:rsid w:val="00F12658"/>
    <w:rsid w:val="00F1269D"/>
    <w:rsid w:val="00F13314"/>
    <w:rsid w:val="00F13CAA"/>
    <w:rsid w:val="00F14216"/>
    <w:rsid w:val="00F16625"/>
    <w:rsid w:val="00F30A81"/>
    <w:rsid w:val="00F30B94"/>
    <w:rsid w:val="00F31A86"/>
    <w:rsid w:val="00F341A4"/>
    <w:rsid w:val="00F35112"/>
    <w:rsid w:val="00F37730"/>
    <w:rsid w:val="00F43019"/>
    <w:rsid w:val="00F45C0A"/>
    <w:rsid w:val="00F47ECC"/>
    <w:rsid w:val="00F51DE5"/>
    <w:rsid w:val="00F52F11"/>
    <w:rsid w:val="00F562CF"/>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5421"/>
    <w:rsid w:val="00FF54F8"/>
    <w:rsid w:val="00FF58D9"/>
    <w:rsid w:val="018A5D41"/>
    <w:rsid w:val="01E45FB7"/>
    <w:rsid w:val="02415C62"/>
    <w:rsid w:val="02872629"/>
    <w:rsid w:val="03312CC4"/>
    <w:rsid w:val="035058C7"/>
    <w:rsid w:val="035E0DBD"/>
    <w:rsid w:val="03F86B1C"/>
    <w:rsid w:val="04784D87"/>
    <w:rsid w:val="060317A8"/>
    <w:rsid w:val="07C35693"/>
    <w:rsid w:val="08BF40AC"/>
    <w:rsid w:val="08CE22D8"/>
    <w:rsid w:val="099A468B"/>
    <w:rsid w:val="0A875C10"/>
    <w:rsid w:val="0AF3628F"/>
    <w:rsid w:val="0B363250"/>
    <w:rsid w:val="0BE36D47"/>
    <w:rsid w:val="0C4C20FB"/>
    <w:rsid w:val="0CD820F1"/>
    <w:rsid w:val="0CE25200"/>
    <w:rsid w:val="0D5E1B07"/>
    <w:rsid w:val="0DE079F5"/>
    <w:rsid w:val="0E545297"/>
    <w:rsid w:val="10516D8F"/>
    <w:rsid w:val="106F56A5"/>
    <w:rsid w:val="11E5553C"/>
    <w:rsid w:val="11EE77B0"/>
    <w:rsid w:val="11F272A1"/>
    <w:rsid w:val="120A5DB1"/>
    <w:rsid w:val="123F711E"/>
    <w:rsid w:val="12BB6165"/>
    <w:rsid w:val="133D5C9F"/>
    <w:rsid w:val="13533D6F"/>
    <w:rsid w:val="1399762A"/>
    <w:rsid w:val="13D6674E"/>
    <w:rsid w:val="13DD7ADC"/>
    <w:rsid w:val="14BA3751"/>
    <w:rsid w:val="15172FC0"/>
    <w:rsid w:val="1530696F"/>
    <w:rsid w:val="16B25250"/>
    <w:rsid w:val="17391D92"/>
    <w:rsid w:val="17544085"/>
    <w:rsid w:val="1820443C"/>
    <w:rsid w:val="18431CDB"/>
    <w:rsid w:val="1EF651FF"/>
    <w:rsid w:val="1F262338"/>
    <w:rsid w:val="1F550AAE"/>
    <w:rsid w:val="21010D55"/>
    <w:rsid w:val="21D94E59"/>
    <w:rsid w:val="224156DA"/>
    <w:rsid w:val="230230BC"/>
    <w:rsid w:val="23984280"/>
    <w:rsid w:val="253A0EF8"/>
    <w:rsid w:val="253B0B07"/>
    <w:rsid w:val="254362D7"/>
    <w:rsid w:val="257449AC"/>
    <w:rsid w:val="2790205B"/>
    <w:rsid w:val="288D3427"/>
    <w:rsid w:val="28C54DCD"/>
    <w:rsid w:val="28CE4005"/>
    <w:rsid w:val="29F9354B"/>
    <w:rsid w:val="2A73489F"/>
    <w:rsid w:val="2C5C33A3"/>
    <w:rsid w:val="2CE455E0"/>
    <w:rsid w:val="2CF73A01"/>
    <w:rsid w:val="2E1524DD"/>
    <w:rsid w:val="301B0ADB"/>
    <w:rsid w:val="308B2942"/>
    <w:rsid w:val="32285F6F"/>
    <w:rsid w:val="32421DBE"/>
    <w:rsid w:val="3266677F"/>
    <w:rsid w:val="32ED521C"/>
    <w:rsid w:val="348F6779"/>
    <w:rsid w:val="36061271"/>
    <w:rsid w:val="360D3DFA"/>
    <w:rsid w:val="377939F2"/>
    <w:rsid w:val="38AA5930"/>
    <w:rsid w:val="392626C6"/>
    <w:rsid w:val="3943735F"/>
    <w:rsid w:val="39965260"/>
    <w:rsid w:val="3A4D0C68"/>
    <w:rsid w:val="3B003F2D"/>
    <w:rsid w:val="3EA347C1"/>
    <w:rsid w:val="3EDD5BC4"/>
    <w:rsid w:val="40384169"/>
    <w:rsid w:val="40B04500"/>
    <w:rsid w:val="40CA3013"/>
    <w:rsid w:val="427B5168"/>
    <w:rsid w:val="42870A90"/>
    <w:rsid w:val="42C13A9F"/>
    <w:rsid w:val="43076514"/>
    <w:rsid w:val="444F1F4F"/>
    <w:rsid w:val="447F7AC2"/>
    <w:rsid w:val="44A1236F"/>
    <w:rsid w:val="44F22F67"/>
    <w:rsid w:val="456B4496"/>
    <w:rsid w:val="493F377B"/>
    <w:rsid w:val="49AA1C33"/>
    <w:rsid w:val="4C9F589F"/>
    <w:rsid w:val="4D1E40A2"/>
    <w:rsid w:val="4DD04FF2"/>
    <w:rsid w:val="4DE01544"/>
    <w:rsid w:val="4E824F2D"/>
    <w:rsid w:val="4F6603AB"/>
    <w:rsid w:val="50B74C36"/>
    <w:rsid w:val="51D27F79"/>
    <w:rsid w:val="52F77B3F"/>
    <w:rsid w:val="53960AF8"/>
    <w:rsid w:val="54824DEE"/>
    <w:rsid w:val="54F86141"/>
    <w:rsid w:val="54F95756"/>
    <w:rsid w:val="553C7B08"/>
    <w:rsid w:val="562A45DB"/>
    <w:rsid w:val="564F41DF"/>
    <w:rsid w:val="565E6B78"/>
    <w:rsid w:val="56C43C09"/>
    <w:rsid w:val="574A2360"/>
    <w:rsid w:val="58307579"/>
    <w:rsid w:val="584D6470"/>
    <w:rsid w:val="5859300C"/>
    <w:rsid w:val="5874204B"/>
    <w:rsid w:val="587578B0"/>
    <w:rsid w:val="5B1769FD"/>
    <w:rsid w:val="5BCD355F"/>
    <w:rsid w:val="5BDE751B"/>
    <w:rsid w:val="5C4B03E3"/>
    <w:rsid w:val="5C4C0928"/>
    <w:rsid w:val="5C9D2F32"/>
    <w:rsid w:val="5D630203"/>
    <w:rsid w:val="5D90675D"/>
    <w:rsid w:val="5DBA3C92"/>
    <w:rsid w:val="5E5771CD"/>
    <w:rsid w:val="5E991CA2"/>
    <w:rsid w:val="5F4B3119"/>
    <w:rsid w:val="5FE86BBA"/>
    <w:rsid w:val="61C0584D"/>
    <w:rsid w:val="64835103"/>
    <w:rsid w:val="64AF414A"/>
    <w:rsid w:val="658E1FB1"/>
    <w:rsid w:val="678C2521"/>
    <w:rsid w:val="68CD2DF1"/>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EEE2883"/>
    <w:rsid w:val="6F1108E1"/>
    <w:rsid w:val="6FCC4427"/>
    <w:rsid w:val="7064403B"/>
    <w:rsid w:val="70726E22"/>
    <w:rsid w:val="709C1A26"/>
    <w:rsid w:val="70C8281B"/>
    <w:rsid w:val="715F2A54"/>
    <w:rsid w:val="71FE0A67"/>
    <w:rsid w:val="721675B7"/>
    <w:rsid w:val="721B2E1F"/>
    <w:rsid w:val="72AA443B"/>
    <w:rsid w:val="72C47013"/>
    <w:rsid w:val="72ED635E"/>
    <w:rsid w:val="73090EC9"/>
    <w:rsid w:val="73F73418"/>
    <w:rsid w:val="740A4908"/>
    <w:rsid w:val="74B5137A"/>
    <w:rsid w:val="74B530B7"/>
    <w:rsid w:val="769D2054"/>
    <w:rsid w:val="76FB4FCD"/>
    <w:rsid w:val="775D3592"/>
    <w:rsid w:val="782642CC"/>
    <w:rsid w:val="784F06F1"/>
    <w:rsid w:val="786F3453"/>
    <w:rsid w:val="7A1A1E1A"/>
    <w:rsid w:val="7A1C2201"/>
    <w:rsid w:val="7B657E87"/>
    <w:rsid w:val="7C4C0B76"/>
    <w:rsid w:val="7C727ADF"/>
    <w:rsid w:val="7E1A3F8B"/>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qFormat/>
    <w:uiPriority w:val="99"/>
    <w:pPr>
      <w:autoSpaceDE w:val="0"/>
      <w:autoSpaceDN w:val="0"/>
      <w:adjustRightInd w:val="0"/>
      <w:jc w:val="left"/>
      <w:outlineLvl w:val="2"/>
    </w:pPr>
    <w:rPr>
      <w:kern w:val="0"/>
      <w:sz w:val="24"/>
      <w:szCs w:val="24"/>
    </w:rPr>
  </w:style>
  <w:style w:type="paragraph" w:styleId="5">
    <w:name w:val="heading 4"/>
    <w:basedOn w:val="1"/>
    <w:next w:val="1"/>
    <w:link w:val="24"/>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qFormat/>
    <w:uiPriority w:val="1"/>
  </w:style>
  <w:style w:type="table" w:default="1" w:styleId="15">
    <w:name w:val="Normal Table"/>
    <w:autoRedefine/>
    <w:semiHidden/>
    <w:unhideWhenUsed/>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unhideWhenUsed/>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qFormat/>
    <w:uiPriority w:val="99"/>
    <w:rPr>
      <w:rFonts w:ascii="Times New Roman" w:hAnsi="Times New Roman" w:cs="Times New Roman"/>
      <w:kern w:val="0"/>
      <w:sz w:val="24"/>
      <w:szCs w:val="24"/>
    </w:rPr>
  </w:style>
  <w:style w:type="character" w:customStyle="1" w:styleId="23">
    <w:name w:val="标题 3 Char"/>
    <w:link w:val="4"/>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uiPriority w:val="99"/>
    <w:rPr>
      <w:rFonts w:ascii="等线" w:hAnsi="等线" w:eastAsia="等线"/>
      <w:b/>
      <w:bCs/>
      <w:kern w:val="2"/>
      <w:sz w:val="21"/>
      <w:szCs w:val="22"/>
    </w:rPr>
  </w:style>
  <w:style w:type="character" w:customStyle="1" w:styleId="30">
    <w:name w:val="批注文字 Char1"/>
    <w:semiHidden/>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C7BB-8354-4E58-8ED5-79EC457D60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3838</Words>
  <Characters>21881</Characters>
  <Lines>182</Lines>
  <Paragraphs>51</Paragraphs>
  <TotalTime>43</TotalTime>
  <ScaleCrop>false</ScaleCrop>
  <LinksUpToDate>false</LinksUpToDate>
  <CharactersWithSpaces>25668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lenovo</cp:lastModifiedBy>
  <cp:lastPrinted>2021-08-17T07:59:00Z</cp:lastPrinted>
  <dcterms:modified xsi:type="dcterms:W3CDTF">2024-01-09T11:00:39Z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DE3C91C2A3B5482180EC7207DA540B60</vt:lpwstr>
  </property>
</Properties>
</file>