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88C09">
      <w:pPr>
        <w:wordWrap w:val="0"/>
        <w:ind w:left="-4" w:leftChars="-2"/>
        <w:jc w:val="center"/>
        <w:rPr>
          <w:rFonts w:eastAsia="黑体"/>
          <w:b/>
          <w:color w:val="000000" w:themeColor="text1"/>
          <w:sz w:val="44"/>
          <w:szCs w:val="44"/>
          <w14:textFill>
            <w14:solidFill>
              <w14:schemeClr w14:val="tx1"/>
            </w14:solidFill>
          </w14:textFill>
        </w:rPr>
      </w:pPr>
    </w:p>
    <w:p w14:paraId="393E5C81">
      <w:pPr>
        <w:snapToGrid w:val="0"/>
        <w:spacing w:line="360" w:lineRule="auto"/>
        <w:jc w:val="center"/>
        <w:rPr>
          <w:rFonts w:hint="eastAsia" w:ascii="宋体" w:hAnsi="宋体" w:cs="宋体"/>
          <w:b/>
          <w:bCs/>
          <w:color w:val="000000" w:themeColor="text1"/>
          <w:sz w:val="48"/>
          <w:szCs w:val="52"/>
          <w14:textFill>
            <w14:solidFill>
              <w14:schemeClr w14:val="tx1"/>
            </w14:solidFill>
          </w14:textFill>
        </w:rPr>
      </w:pPr>
      <w:r>
        <w:rPr>
          <w:rFonts w:hint="eastAsia" w:ascii="宋体" w:hAnsi="宋体" w:cs="宋体"/>
          <w:b/>
          <w:bCs/>
          <w:color w:val="000000" w:themeColor="text1"/>
          <w:sz w:val="48"/>
          <w:szCs w:val="52"/>
          <w14:textFill>
            <w14:solidFill>
              <w14:schemeClr w14:val="tx1"/>
            </w14:solidFill>
          </w14:textFill>
        </w:rPr>
        <w:t>盐城师范学院后勤保障部</w:t>
      </w:r>
    </w:p>
    <w:p w14:paraId="56505BED">
      <w:pPr>
        <w:snapToGrid w:val="0"/>
        <w:spacing w:line="360" w:lineRule="auto"/>
        <w:jc w:val="center"/>
        <w:rPr>
          <w:rFonts w:ascii="宋体" w:hAnsi="宋体" w:cs="宋体"/>
          <w:b/>
          <w:bCs/>
          <w:color w:val="000000" w:themeColor="text1"/>
          <w:sz w:val="48"/>
          <w:szCs w:val="52"/>
          <w14:textFill>
            <w14:solidFill>
              <w14:schemeClr w14:val="tx1"/>
            </w14:solidFill>
          </w14:textFill>
        </w:rPr>
      </w:pPr>
      <w:r>
        <w:rPr>
          <w:rFonts w:hint="eastAsia" w:ascii="宋体" w:hAnsi="宋体" w:cs="宋体"/>
          <w:b/>
          <w:bCs/>
          <w:color w:val="000000" w:themeColor="text1"/>
          <w:sz w:val="48"/>
          <w:szCs w:val="52"/>
          <w14:textFill>
            <w14:solidFill>
              <w14:schemeClr w14:val="tx1"/>
            </w14:solidFill>
          </w14:textFill>
        </w:rPr>
        <w:t>工程结算初审委托服务</w:t>
      </w:r>
    </w:p>
    <w:p w14:paraId="2C3A177A">
      <w:pPr>
        <w:snapToGrid w:val="0"/>
        <w:spacing w:before="120" w:after="120" w:line="300" w:lineRule="auto"/>
        <w:jc w:val="center"/>
        <w:rPr>
          <w:rFonts w:ascii="宋体" w:hAnsi="宋体" w:cs="宋体"/>
          <w:color w:val="000000" w:themeColor="text1"/>
          <w:sz w:val="72"/>
          <w:szCs w:val="72"/>
          <w14:textFill>
            <w14:solidFill>
              <w14:schemeClr w14:val="tx1"/>
            </w14:solidFill>
          </w14:textFill>
        </w:rPr>
      </w:pPr>
    </w:p>
    <w:p w14:paraId="62B6E2A8">
      <w:pPr>
        <w:snapToGrid w:val="0"/>
        <w:spacing w:before="120" w:after="120" w:line="300" w:lineRule="auto"/>
        <w:jc w:val="center"/>
        <w:rPr>
          <w:rFonts w:ascii="宋体" w:hAnsi="宋体" w:cs="宋体"/>
          <w:color w:val="000000" w:themeColor="text1"/>
          <w:sz w:val="72"/>
          <w:szCs w:val="72"/>
          <w14:textFill>
            <w14:solidFill>
              <w14:schemeClr w14:val="tx1"/>
            </w14:solidFill>
          </w14:textFill>
        </w:rPr>
      </w:pPr>
    </w:p>
    <w:p w14:paraId="68AA5B34">
      <w:pPr>
        <w:wordWrap w:val="0"/>
        <w:rPr>
          <w:color w:val="000000" w:themeColor="text1"/>
          <w14:textFill>
            <w14:solidFill>
              <w14:schemeClr w14:val="tx1"/>
            </w14:solidFill>
          </w14:textFill>
        </w:rPr>
      </w:pPr>
    </w:p>
    <w:p w14:paraId="58E7A7EE">
      <w:pPr>
        <w:snapToGrid w:val="0"/>
        <w:spacing w:before="120" w:after="120" w:line="300" w:lineRule="auto"/>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询 价 文 件</w:t>
      </w:r>
    </w:p>
    <w:p w14:paraId="1313970D">
      <w:pPr>
        <w:snapToGrid w:val="0"/>
        <w:spacing w:line="300" w:lineRule="auto"/>
        <w:jc w:val="center"/>
        <w:rPr>
          <w:rFonts w:ascii="宋体" w:hAnsi="宋体" w:cs="宋体"/>
          <w:b/>
          <w:bCs/>
          <w:color w:val="000000" w:themeColor="text1"/>
          <w:sz w:val="28"/>
          <w14:textFill>
            <w14:solidFill>
              <w14:schemeClr w14:val="tx1"/>
            </w14:solidFill>
          </w14:textFill>
        </w:rPr>
      </w:pPr>
    </w:p>
    <w:p w14:paraId="6DA72B67">
      <w:pPr>
        <w:snapToGrid w:val="0"/>
        <w:spacing w:line="300" w:lineRule="auto"/>
        <w:jc w:val="center"/>
        <w:rPr>
          <w:rFonts w:ascii="宋体" w:hAnsi="宋体" w:cs="宋体"/>
          <w:b/>
          <w:bCs/>
          <w:color w:val="000000" w:themeColor="text1"/>
          <w:sz w:val="28"/>
          <w14:textFill>
            <w14:solidFill>
              <w14:schemeClr w14:val="tx1"/>
            </w14:solidFill>
          </w14:textFill>
        </w:rPr>
      </w:pPr>
    </w:p>
    <w:p w14:paraId="23FA51F5">
      <w:pPr>
        <w:snapToGrid w:val="0"/>
        <w:spacing w:line="300" w:lineRule="auto"/>
        <w:jc w:val="center"/>
        <w:rPr>
          <w:rFonts w:ascii="宋体" w:hAnsi="宋体" w:cs="宋体"/>
          <w:b/>
          <w:bCs/>
          <w:color w:val="000000" w:themeColor="text1"/>
          <w:sz w:val="28"/>
          <w14:textFill>
            <w14:solidFill>
              <w14:schemeClr w14:val="tx1"/>
            </w14:solidFill>
          </w14:textFill>
        </w:rPr>
      </w:pPr>
    </w:p>
    <w:p w14:paraId="4BE106B4">
      <w:pPr>
        <w:snapToGrid w:val="0"/>
        <w:spacing w:line="300" w:lineRule="auto"/>
        <w:jc w:val="center"/>
        <w:rPr>
          <w:rFonts w:ascii="宋体" w:hAnsi="宋体" w:cs="宋体"/>
          <w:b/>
          <w:bCs/>
          <w:color w:val="000000" w:themeColor="text1"/>
          <w:sz w:val="28"/>
          <w14:textFill>
            <w14:solidFill>
              <w14:schemeClr w14:val="tx1"/>
            </w14:solidFill>
          </w14:textFill>
        </w:rPr>
      </w:pPr>
    </w:p>
    <w:p w14:paraId="5BB7F507">
      <w:pPr>
        <w:snapToGrid w:val="0"/>
        <w:spacing w:line="480" w:lineRule="auto"/>
        <w:jc w:val="center"/>
        <w:rPr>
          <w:rFonts w:ascii="宋体" w:hAnsi="宋体" w:cs="宋体"/>
          <w:color w:val="000000" w:themeColor="text1"/>
          <w:sz w:val="30"/>
          <w:szCs w:val="30"/>
          <w14:textFill>
            <w14:solidFill>
              <w14:schemeClr w14:val="tx1"/>
            </w14:solidFill>
          </w14:textFill>
        </w:rPr>
      </w:pPr>
    </w:p>
    <w:p w14:paraId="62D05FCB">
      <w:pPr>
        <w:spacing w:line="700" w:lineRule="exact"/>
        <w:ind w:firstLine="600" w:firstLineChars="20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盐城师范学院</w:t>
      </w:r>
    </w:p>
    <w:p w14:paraId="4BAB251C">
      <w:pPr>
        <w:spacing w:line="700" w:lineRule="exact"/>
        <w:ind w:firstLine="600" w:firstLineChars="200"/>
        <w:jc w:val="center"/>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2026年3月</w:t>
      </w:r>
    </w:p>
    <w:p w14:paraId="7A591F06">
      <w:pPr>
        <w:wordWrap w:val="0"/>
        <w:rPr>
          <w:color w:val="000000" w:themeColor="text1"/>
          <w14:textFill>
            <w14:solidFill>
              <w14:schemeClr w14:val="tx1"/>
            </w14:solidFill>
          </w14:textFill>
        </w:rPr>
      </w:pPr>
    </w:p>
    <w:p w14:paraId="693B2140">
      <w:pPr>
        <w:wordWrap w:val="0"/>
        <w:rPr>
          <w:color w:val="000000" w:themeColor="text1"/>
          <w14:textFill>
            <w14:solidFill>
              <w14:schemeClr w14:val="tx1"/>
            </w14:solidFill>
          </w14:textFill>
        </w:rPr>
        <w:sectPr>
          <w:pgSz w:w="11906" w:h="16838"/>
          <w:pgMar w:top="1134" w:right="1418" w:bottom="1134" w:left="1418" w:header="851" w:footer="851" w:gutter="0"/>
          <w:pgNumType w:start="1"/>
          <w:cols w:space="720" w:num="1"/>
          <w:docGrid w:linePitch="312" w:charSpace="0"/>
        </w:sectPr>
      </w:pPr>
    </w:p>
    <w:p w14:paraId="226396FE">
      <w:pPr>
        <w:widowControl/>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第一章  </w:t>
      </w:r>
      <w:bookmarkStart w:id="0" w:name="_Toc120614211"/>
      <w:r>
        <w:rPr>
          <w:rFonts w:hint="eastAsia" w:ascii="宋体" w:hAnsi="宋体" w:cs="宋体"/>
          <w:b/>
          <w:color w:val="000000" w:themeColor="text1"/>
          <w:sz w:val="36"/>
          <w:szCs w:val="36"/>
          <w14:textFill>
            <w14:solidFill>
              <w14:schemeClr w14:val="tx1"/>
            </w14:solidFill>
          </w14:textFill>
        </w:rPr>
        <w:t>询价公告</w:t>
      </w:r>
    </w:p>
    <w:bookmarkEnd w:id="0"/>
    <w:p w14:paraId="40C9CF56">
      <w:pPr>
        <w:wordWrap w:val="0"/>
        <w:spacing w:line="360" w:lineRule="auto"/>
        <w:ind w:firstLine="480" w:firstLineChars="200"/>
        <w:rPr>
          <w:rFonts w:ascii="宋体" w:hAnsi="宋体" w:cs="宋体"/>
          <w:color w:val="000000" w:themeColor="text1"/>
          <w:sz w:val="24"/>
          <w14:textFill>
            <w14:solidFill>
              <w14:schemeClr w14:val="tx1"/>
            </w14:solidFill>
          </w14:textFill>
        </w:rPr>
      </w:pPr>
    </w:p>
    <w:p w14:paraId="0278111E">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由盐城师范学院实施的盐城师范学院后勤保障部工程结算初审委托服务，拟采用询价的方法选择服务单位，具体有关事宜如下：</w:t>
      </w:r>
    </w:p>
    <w:p w14:paraId="3311B477">
      <w:pPr>
        <w:wordWrap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一、项目概况</w:t>
      </w:r>
    </w:p>
    <w:p w14:paraId="475FF072">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1、项目编号：YSHQ2026-ZB-0302</w:t>
      </w:r>
    </w:p>
    <w:p w14:paraId="46236BFB">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2、项目名称：盐城师范学院后勤保障部工程结算初审委托服务。</w:t>
      </w:r>
    </w:p>
    <w:p w14:paraId="468EF25F">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3、项目地点：盐城师范学院。</w:t>
      </w:r>
    </w:p>
    <w:p w14:paraId="25CC5FE4">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项目内容：根据采购人提供的项目工程资料及国家和省、市建设行政主管部门的有关工程造价计价标准和规定完成工程结算审核业务。</w:t>
      </w:r>
    </w:p>
    <w:p w14:paraId="1ACCE276">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5、项目规模：1万元以上项目约20个，1万元以下零星维修项目约400个。</w:t>
      </w:r>
    </w:p>
    <w:p w14:paraId="6D4A0B91">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6、最高限价：30元/项目。(总费用超过1.26万元以1.26万元计。) 报价高于最高限价的，采购人将不予接受，视为无效报价。</w:t>
      </w:r>
    </w:p>
    <w:p w14:paraId="4D74E12C">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7、服务期限：自合同签订之日起至2026年12月31日止。</w:t>
      </w:r>
    </w:p>
    <w:p w14:paraId="32BB3E87">
      <w:pPr>
        <w:pStyle w:val="21"/>
        <w:spacing w:line="360" w:lineRule="auto"/>
        <w:ind w:firstLine="482" w:firstLineChars="200"/>
        <w:rPr>
          <w:rFonts w:ascii="宋体" w:hAnsi="宋体" w:cs="宋体"/>
          <w:b/>
          <w:color w:val="000000" w:themeColor="text1"/>
          <w:sz w:val="24"/>
          <w14:textFill>
            <w14:solidFill>
              <w14:schemeClr w14:val="tx1"/>
            </w14:solidFill>
          </w14:textFill>
        </w:rPr>
      </w:pPr>
      <w:bookmarkStart w:id="1" w:name="_Toc123997923"/>
      <w:bookmarkStart w:id="2" w:name="_Toc123997854"/>
      <w:bookmarkStart w:id="3" w:name="_Toc61980894"/>
      <w:r>
        <w:rPr>
          <w:rFonts w:hint="eastAsia" w:ascii="宋体" w:hAnsi="宋体" w:cs="宋体"/>
          <w:b/>
          <w:color w:val="000000" w:themeColor="text1"/>
          <w:sz w:val="24"/>
          <w14:textFill>
            <w14:solidFill>
              <w14:schemeClr w14:val="tx1"/>
            </w14:solidFill>
          </w14:textFill>
        </w:rPr>
        <w:t>二、</w:t>
      </w:r>
      <w:bookmarkEnd w:id="1"/>
      <w:bookmarkEnd w:id="2"/>
      <w:bookmarkEnd w:id="3"/>
      <w:r>
        <w:rPr>
          <w:rFonts w:hint="eastAsia" w:ascii="宋体" w:hAnsi="宋体" w:cs="宋体"/>
          <w:b/>
          <w:color w:val="000000" w:themeColor="text1"/>
          <w:sz w:val="24"/>
          <w14:textFill>
            <w14:solidFill>
              <w14:schemeClr w14:val="tx1"/>
            </w14:solidFill>
          </w14:textFill>
        </w:rPr>
        <w:t>供应商资格条件</w:t>
      </w:r>
    </w:p>
    <w:p w14:paraId="73847D47">
      <w:pPr>
        <w:pStyle w:val="21"/>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1、满足《中华人民共和国政府采购法》第二十二条规定并提供下列材料：</w:t>
      </w:r>
    </w:p>
    <w:p w14:paraId="1E62321F">
      <w:pPr>
        <w:pStyle w:val="21"/>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法人的营业执照等证明文件。</w:t>
      </w:r>
    </w:p>
    <w:p w14:paraId="54C568AB">
      <w:pPr>
        <w:pStyle w:val="21"/>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2、本项目的特定资格要求：</w:t>
      </w:r>
    </w:p>
    <w:p w14:paraId="694F3523">
      <w:pPr>
        <w:pStyle w:val="21"/>
        <w:spacing w:after="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2.1项目负责人资格要求：项目负责人必须为报价人本单位的在职职工，具有二级及以上注册造价工程师注册证书（旧版一级注册证书为造价工程师证书，不分等级，下同）。</w:t>
      </w:r>
    </w:p>
    <w:p w14:paraId="64704A1D">
      <w:pPr>
        <w:pStyle w:val="20"/>
        <w:widowControl/>
        <w:spacing w:line="360" w:lineRule="auto"/>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三、询价文件的获取：</w:t>
      </w:r>
    </w:p>
    <w:p w14:paraId="40524A22">
      <w:pPr>
        <w:pStyle w:val="20"/>
        <w:widowControl/>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供应商自行下载，询价文件见本公告附件。</w:t>
      </w:r>
    </w:p>
    <w:p w14:paraId="2C026118">
      <w:pPr>
        <w:pStyle w:val="21"/>
        <w:spacing w:after="0" w:line="360" w:lineRule="auto"/>
        <w:ind w:firstLine="482" w:firstLineChars="200"/>
        <w:rPr>
          <w:rFonts w:ascii="宋体" w:hAnsi="宋体" w:cs="宋体"/>
          <w:b/>
          <w:color w:val="000000" w:themeColor="text1"/>
          <w:sz w:val="24"/>
          <w14:textFill>
            <w14:solidFill>
              <w14:schemeClr w14:val="tx1"/>
            </w14:solidFill>
          </w14:textFill>
        </w:rPr>
      </w:pPr>
      <w:bookmarkStart w:id="4" w:name="_Toc123997855"/>
      <w:bookmarkStart w:id="5" w:name="_Toc61980897"/>
      <w:bookmarkStart w:id="6" w:name="_Toc123997924"/>
      <w:r>
        <w:rPr>
          <w:rFonts w:hint="eastAsia" w:ascii="宋体" w:hAnsi="宋体" w:cs="宋体"/>
          <w:b/>
          <w:color w:val="000000" w:themeColor="text1"/>
          <w:sz w:val="24"/>
          <w14:textFill>
            <w14:solidFill>
              <w14:schemeClr w14:val="tx1"/>
            </w14:solidFill>
          </w14:textFill>
        </w:rPr>
        <w:t>四、响应文件提交</w:t>
      </w:r>
      <w:bookmarkEnd w:id="4"/>
      <w:bookmarkEnd w:id="5"/>
      <w:bookmarkEnd w:id="6"/>
    </w:p>
    <w:p w14:paraId="27CBF93A">
      <w:pPr>
        <w:pStyle w:val="21"/>
        <w:spacing w:after="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1、起止时间：2026年3月10日上午08:00——2026年3月16日上午08:00（北京时间）</w:t>
      </w:r>
    </w:p>
    <w:p w14:paraId="650F7021">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2、方式：请将响应文件在报价截止时间之前顺丰（请在快递单上备注项目编号：0000000）快递（不接受同城快递必须有顺丰单号）至江苏省盐城市希望大道南路2号盐城师范学院(新长校区)后勤综合楼215项目管理科 。</w:t>
      </w:r>
    </w:p>
    <w:p w14:paraId="28A6F991">
      <w:pPr>
        <w:spacing w:line="5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快递接收人：侍老师。</w:t>
      </w:r>
    </w:p>
    <w:p w14:paraId="5803E71D">
      <w:pPr>
        <w:spacing w:line="500" w:lineRule="exact"/>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联系电话：13921846567（该电话不接受咨询，仅用于快递接收）。</w:t>
      </w:r>
    </w:p>
    <w:p w14:paraId="190737A2">
      <w:pPr>
        <w:rPr>
          <w:color w:val="000000" w:themeColor="text1"/>
          <w14:textFill>
            <w14:solidFill>
              <w14:schemeClr w14:val="tx1"/>
            </w14:solidFill>
          </w14:textFill>
        </w:rPr>
      </w:pPr>
    </w:p>
    <w:p w14:paraId="692BC888">
      <w:pPr>
        <w:pStyle w:val="21"/>
        <w:spacing w:after="0" w:line="360" w:lineRule="auto"/>
        <w:ind w:firstLine="482" w:firstLineChars="200"/>
        <w:rPr>
          <w:rFonts w:ascii="宋体" w:hAnsi="宋体" w:cs="宋体"/>
          <w:b/>
          <w:color w:val="000000" w:themeColor="text1"/>
          <w:sz w:val="24"/>
          <w14:textFill>
            <w14:solidFill>
              <w14:schemeClr w14:val="tx1"/>
            </w14:solidFill>
          </w14:textFill>
        </w:rPr>
      </w:pPr>
      <w:bookmarkStart w:id="7" w:name="_Toc61980898"/>
      <w:bookmarkStart w:id="8" w:name="_Toc123997856"/>
      <w:bookmarkStart w:id="9" w:name="_Toc123997925"/>
      <w:r>
        <w:rPr>
          <w:rFonts w:hint="eastAsia" w:ascii="宋体" w:hAnsi="宋体" w:cs="宋体"/>
          <w:b/>
          <w:color w:val="000000" w:themeColor="text1"/>
          <w:sz w:val="24"/>
          <w14:textFill>
            <w14:solidFill>
              <w14:schemeClr w14:val="tx1"/>
            </w14:solidFill>
          </w14:textFill>
        </w:rPr>
        <w:t>五、</w:t>
      </w:r>
      <w:bookmarkEnd w:id="7"/>
      <w:bookmarkStart w:id="10" w:name="_Toc61980899"/>
      <w:r>
        <w:rPr>
          <w:rFonts w:hint="eastAsia" w:ascii="宋体" w:hAnsi="宋体" w:cs="宋体"/>
          <w:b/>
          <w:color w:val="000000" w:themeColor="text1"/>
          <w:sz w:val="24"/>
          <w14:textFill>
            <w14:solidFill>
              <w14:schemeClr w14:val="tx1"/>
            </w14:solidFill>
          </w14:textFill>
        </w:rPr>
        <w:t>其他补充事宜</w:t>
      </w:r>
      <w:bookmarkEnd w:id="8"/>
      <w:bookmarkEnd w:id="9"/>
      <w:bookmarkEnd w:id="10"/>
    </w:p>
    <w:p w14:paraId="51B13303">
      <w:pPr>
        <w:pStyle w:val="21"/>
        <w:spacing w:after="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响应文件制作份数要求：正本份数：1份，副本份数:2份。</w:t>
      </w:r>
    </w:p>
    <w:p w14:paraId="4311053C">
      <w:pPr>
        <w:pStyle w:val="20"/>
        <w:widowControl/>
        <w:spacing w:line="360" w:lineRule="auto"/>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六、联系方式</w:t>
      </w:r>
    </w:p>
    <w:p w14:paraId="1AB1C9E7">
      <w:pPr>
        <w:pStyle w:val="20"/>
        <w:widowControl/>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采购人：盐城师范学院</w:t>
      </w:r>
    </w:p>
    <w:p w14:paraId="1272D163">
      <w:pPr>
        <w:pStyle w:val="20"/>
        <w:widowControl/>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联系人：尹老师</w:t>
      </w:r>
    </w:p>
    <w:p w14:paraId="4D7387C3">
      <w:pPr>
        <w:pStyle w:val="20"/>
        <w:widowControl/>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r>
        <w:rPr>
          <w:rFonts w:ascii="宋体" w:hAnsi="宋体" w:cs="宋体"/>
          <w:color w:val="000000" w:themeColor="text1"/>
          <w14:textFill>
            <w14:solidFill>
              <w14:schemeClr w14:val="tx1"/>
            </w14:solidFill>
          </w14:textFill>
        </w:rPr>
        <w:t>15861996897</w:t>
      </w:r>
    </w:p>
    <w:p w14:paraId="336CA042">
      <w:pPr>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14:paraId="6D657A77">
      <w:pPr>
        <w:widowControl/>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第二章  报价人须知</w:t>
      </w:r>
    </w:p>
    <w:p w14:paraId="4631E7FF">
      <w:pPr>
        <w:pStyle w:val="2"/>
        <w:ind w:firstLine="440"/>
        <w:rPr>
          <w:color w:val="000000" w:themeColor="text1"/>
          <w:lang w:eastAsia="zh-CN"/>
          <w14:textFill>
            <w14:solidFill>
              <w14:schemeClr w14:val="tx1"/>
            </w14:solidFill>
          </w14:textFill>
        </w:rPr>
      </w:pPr>
    </w:p>
    <w:p w14:paraId="7FD48553">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一、报价人一旦领取了本询价文件并决定参加报价，即被认为接受了本询价文件的规定和约束，并视为自询价文件发布之日起已经知道或应当知道自身权益是否受到了损害。</w:t>
      </w:r>
    </w:p>
    <w:p w14:paraId="2CD97665">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二、对本询价文件有疑问的，可在2026年3月13日18:00时前向我单位提出，对于不影响公平竞争的问题我单位将作出答复。</w:t>
      </w:r>
    </w:p>
    <w:p w14:paraId="4495A0AC">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三、报价要求：报价人须按询价文件的要求进行响应，响应文件一式3份，即正本1份，副本2份。不论报价人成交与否，响应文件均不退回。响应文件至少应包括：1.法定代表人身份证复印件或授权代表人身份证复印件、法定代表人授权委托书。2.《</w:t>
      </w:r>
      <w:bookmarkStart w:id="11" w:name="_Hlk149462309"/>
      <w:r>
        <w:rPr>
          <w:rFonts w:hint="eastAsia" w:ascii="宋体" w:hAnsi="宋体" w:cs="宋体"/>
          <w:color w:val="000000" w:themeColor="text1"/>
          <w:spacing w:val="10"/>
          <w:kern w:val="15"/>
          <w:position w:val="2"/>
          <w:sz w:val="24"/>
          <w14:textFill>
            <w14:solidFill>
              <w14:schemeClr w14:val="tx1"/>
            </w14:solidFill>
          </w14:textFill>
        </w:rPr>
        <w:t>后勤保障部工程结算初审委托</w:t>
      </w:r>
      <w:bookmarkEnd w:id="11"/>
      <w:r>
        <w:rPr>
          <w:rFonts w:hint="eastAsia" w:ascii="宋体" w:hAnsi="宋体" w:cs="宋体"/>
          <w:color w:val="000000" w:themeColor="text1"/>
          <w:spacing w:val="10"/>
          <w:kern w:val="15"/>
          <w:position w:val="2"/>
          <w:sz w:val="24"/>
          <w14:textFill>
            <w14:solidFill>
              <w14:schemeClr w14:val="tx1"/>
            </w14:solidFill>
          </w14:textFill>
        </w:rPr>
        <w:t>服务报价单》。3.报价人营业执照复印件。4、项目负责人造价工程师注册证书复印件等。以上材料须按要求进行盖章签名。我单位会同有关人员将对各报价情况进行评审，确定采购成交意向单位。</w:t>
      </w:r>
    </w:p>
    <w:p w14:paraId="6FE31E28">
      <w:pPr>
        <w:snapToGrid w:val="0"/>
        <w:spacing w:line="500" w:lineRule="exact"/>
        <w:ind w:firstLine="6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四、成交供应商的确定：在符合询价文件要求的前提下，报价最低，确定为成交供应商。</w:t>
      </w:r>
      <w:r>
        <w:rPr>
          <w:rFonts w:hint="eastAsia" w:ascii="宋体" w:hAnsi="宋体" w:cs="宋体"/>
          <w:color w:val="000000" w:themeColor="text1"/>
          <w:kern w:val="0"/>
          <w:sz w:val="24"/>
          <w14:textFill>
            <w14:solidFill>
              <w14:schemeClr w14:val="tx1"/>
            </w14:solidFill>
          </w14:textFill>
        </w:rPr>
        <w:t>如有报价相同的情况，</w:t>
      </w:r>
      <w:r>
        <w:rPr>
          <w:rFonts w:hint="eastAsia" w:ascii="宋体" w:hAnsi="宋体" w:cs="宋体"/>
          <w:color w:val="000000" w:themeColor="text1"/>
          <w:spacing w:val="10"/>
          <w:kern w:val="15"/>
          <w:position w:val="2"/>
          <w:sz w:val="24"/>
          <w14:textFill>
            <w14:solidFill>
              <w14:schemeClr w14:val="tx1"/>
            </w14:solidFill>
          </w14:textFill>
        </w:rPr>
        <w:t>报价相同的供应商经采购人电话通知后通过顺丰快递的方式将二次报价在次日寄至采购人。如报价还相同则由采购人抽签决定成交供应商。</w:t>
      </w:r>
    </w:p>
    <w:p w14:paraId="6A2C2E32">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五、成交后，</w:t>
      </w:r>
      <w:r>
        <w:rPr>
          <w:rFonts w:hint="eastAsia" w:ascii="宋体" w:hAnsi="宋体" w:cs="宋体"/>
          <w:color w:val="000000" w:themeColor="text1"/>
          <w:kern w:val="0"/>
          <w:sz w:val="24"/>
          <w14:textFill>
            <w14:solidFill>
              <w14:schemeClr w14:val="tx1"/>
            </w14:solidFill>
          </w14:textFill>
        </w:rPr>
        <w:t>接到成交通知后7日内签订采购合同。</w:t>
      </w:r>
    </w:p>
    <w:p w14:paraId="1B06E1FC">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六、其他说明</w:t>
      </w:r>
    </w:p>
    <w:p w14:paraId="1C0C9149">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本采购项目的计量方法、结算方式、价格说明详见询价文件第三章“合同条款及格式”。</w:t>
      </w:r>
    </w:p>
    <w:p w14:paraId="5B75DF76">
      <w:pPr>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14:paraId="2D8501DA">
      <w:pPr>
        <w:widowControl/>
        <w:spacing w:line="500" w:lineRule="exact"/>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第三章 合同条款及格式</w:t>
      </w:r>
    </w:p>
    <w:p w14:paraId="600AEC95">
      <w:pPr>
        <w:widowControl/>
        <w:spacing w:after="100" w:afterAutospacing="1" w:line="500" w:lineRule="exact"/>
        <w:jc w:val="center"/>
        <w:rPr>
          <w:rFonts w:ascii="宋体" w:hAnsi="宋体" w:cs="楷体"/>
          <w:color w:val="000000" w:themeColor="text1"/>
          <w:kern w:val="0"/>
          <w:sz w:val="36"/>
          <w:szCs w:val="36"/>
          <w14:textFill>
            <w14:solidFill>
              <w14:schemeClr w14:val="tx1"/>
            </w14:solidFill>
          </w14:textFill>
        </w:rPr>
      </w:pPr>
    </w:p>
    <w:p w14:paraId="1AE02887">
      <w:pPr>
        <w:widowControl/>
        <w:spacing w:after="100" w:afterAutospacing="1" w:line="500" w:lineRule="exact"/>
        <w:jc w:val="center"/>
        <w:rPr>
          <w:rFonts w:ascii="宋体" w:hAnsi="宋体" w:cs="楷体"/>
          <w:b/>
          <w:bCs/>
          <w:color w:val="000000" w:themeColor="text1"/>
          <w:kern w:val="0"/>
          <w:sz w:val="36"/>
          <w:szCs w:val="36"/>
          <w14:textFill>
            <w14:solidFill>
              <w14:schemeClr w14:val="tx1"/>
            </w14:solidFill>
          </w14:textFill>
        </w:rPr>
      </w:pPr>
      <w:r>
        <w:rPr>
          <w:rFonts w:hint="eastAsia" w:ascii="宋体" w:hAnsi="宋体" w:cs="楷体"/>
          <w:color w:val="000000" w:themeColor="text1"/>
          <w:kern w:val="0"/>
          <w:sz w:val="36"/>
          <w:szCs w:val="36"/>
          <w14:textFill>
            <w14:solidFill>
              <w14:schemeClr w14:val="tx1"/>
            </w14:solidFill>
          </w14:textFill>
        </w:rPr>
        <w:t>建设工程造价咨询合同</w:t>
      </w:r>
    </w:p>
    <w:p w14:paraId="55BD69F2">
      <w:pPr>
        <w:widowControl/>
        <w:spacing w:line="4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盐城师范学院</w:t>
      </w:r>
    </w:p>
    <w:p w14:paraId="16783FC9">
      <w:pPr>
        <w:spacing w:line="480" w:lineRule="exact"/>
        <w:rPr>
          <w:rFonts w:ascii="宋体" w:hAnsi="宋体" w:cs="楷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楷体"/>
          <w:color w:val="000000" w:themeColor="text1"/>
          <w:sz w:val="24"/>
          <w:u w:val="single"/>
          <w14:textFill>
            <w14:solidFill>
              <w14:schemeClr w14:val="tx1"/>
            </w14:solidFill>
          </w14:textFill>
        </w:rPr>
        <w:t xml:space="preserve">              </w:t>
      </w:r>
    </w:p>
    <w:p w14:paraId="5AC5C336">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甲乙双方在平等、自愿、诚实、互信、风险自担的基础上经过友好协商，同意按照以下条款签订合同：</w:t>
      </w:r>
    </w:p>
    <w:p w14:paraId="0DF39ED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一、甲方委托乙方为以下项目提供</w:t>
      </w:r>
      <w:r>
        <w:rPr>
          <w:rFonts w:hint="eastAsia" w:ascii="宋体" w:hAnsi="宋体" w:cs="宋体"/>
          <w:color w:val="000000" w:themeColor="text1"/>
          <w:sz w:val="24"/>
          <w14:textFill>
            <w14:solidFill>
              <w14:schemeClr w14:val="tx1"/>
            </w14:solidFill>
          </w14:textFill>
        </w:rPr>
        <w:t>建设工程造价咨询服务</w:t>
      </w:r>
      <w:r>
        <w:rPr>
          <w:rFonts w:hint="eastAsia" w:ascii="宋体" w:hAnsi="宋体" w:cs="楷体"/>
          <w:color w:val="000000" w:themeColor="text1"/>
          <w:sz w:val="24"/>
          <w14:textFill>
            <w14:solidFill>
              <w14:schemeClr w14:val="tx1"/>
            </w14:solidFill>
          </w14:textFill>
        </w:rPr>
        <w:t>：</w:t>
      </w:r>
    </w:p>
    <w:p w14:paraId="16581314">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1．项目名称：</w:t>
      </w:r>
      <w:r>
        <w:rPr>
          <w:rFonts w:hint="eastAsia" w:ascii="宋体" w:hAnsi="宋体" w:cs="楷体"/>
          <w:color w:val="000000" w:themeColor="text1"/>
          <w:sz w:val="24"/>
          <w:u w:val="single"/>
          <w14:textFill>
            <w14:solidFill>
              <w14:schemeClr w14:val="tx1"/>
            </w14:solidFill>
          </w14:textFill>
        </w:rPr>
        <w:t xml:space="preserve"> 后勤保障部工程结算初审委托服务   </w:t>
      </w:r>
    </w:p>
    <w:p w14:paraId="6335B9E2">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2．服务类别：</w:t>
      </w:r>
      <w:r>
        <w:rPr>
          <w:rFonts w:hint="eastAsia" w:ascii="宋体" w:hAnsi="宋体" w:cs="楷体"/>
          <w:color w:val="000000" w:themeColor="text1"/>
          <w:sz w:val="24"/>
          <w:u w:val="single"/>
          <w14:textFill>
            <w14:solidFill>
              <w14:schemeClr w14:val="tx1"/>
            </w14:solidFill>
          </w14:textFill>
        </w:rPr>
        <w:t xml:space="preserve">              工程竣工结算审核服务</w:t>
      </w:r>
      <w:r>
        <w:rPr>
          <w:rFonts w:hint="eastAsia" w:ascii="宋体" w:hAnsi="宋体" w:cs="楷体"/>
          <w:b/>
          <w:color w:val="000000" w:themeColor="text1"/>
          <w:sz w:val="24"/>
          <w:u w:val="single"/>
          <w14:textFill>
            <w14:solidFill>
              <w14:schemeClr w14:val="tx1"/>
            </w14:solidFill>
          </w14:textFill>
        </w:rPr>
        <w:t xml:space="preserve">    </w:t>
      </w:r>
    </w:p>
    <w:p w14:paraId="74FFD808">
      <w:pPr>
        <w:spacing w:line="480" w:lineRule="exact"/>
        <w:ind w:firstLine="480" w:firstLineChars="200"/>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3．总投资额：</w:t>
      </w:r>
      <w:r>
        <w:rPr>
          <w:rFonts w:hint="eastAsia" w:ascii="宋体" w:hAnsi="宋体" w:cs="楷体"/>
          <w:bCs/>
          <w:color w:val="000000" w:themeColor="text1"/>
          <w:sz w:val="24"/>
          <w:u w:val="single"/>
          <w14:textFill>
            <w14:solidFill>
              <w14:schemeClr w14:val="tx1"/>
            </w14:solidFill>
          </w14:textFill>
        </w:rPr>
        <w:t xml:space="preserve">          </w:t>
      </w:r>
      <w:r>
        <w:rPr>
          <w:rFonts w:ascii="宋体" w:hAnsi="宋体" w:cs="楷体"/>
          <w:bCs/>
          <w:color w:val="000000" w:themeColor="text1"/>
          <w:sz w:val="24"/>
          <w:u w:val="single"/>
          <w14:textFill>
            <w14:solidFill>
              <w14:schemeClr w14:val="tx1"/>
            </w14:solidFill>
          </w14:textFill>
        </w:rPr>
        <w:t xml:space="preserve">         </w:t>
      </w:r>
      <w:r>
        <w:rPr>
          <w:rFonts w:hint="eastAsia" w:ascii="宋体" w:hAnsi="宋体" w:cs="楷体"/>
          <w:color w:val="000000" w:themeColor="text1"/>
          <w:sz w:val="24"/>
          <w:u w:val="single"/>
          <w14:textFill>
            <w14:solidFill>
              <w14:schemeClr w14:val="tx1"/>
            </w14:solidFill>
          </w14:textFill>
        </w:rPr>
        <w:t xml:space="preserve">以实际为准 </w:t>
      </w:r>
      <w:r>
        <w:rPr>
          <w:rFonts w:hint="eastAsia" w:ascii="宋体" w:hAnsi="宋体" w:cs="楷体"/>
          <w:bCs/>
          <w:color w:val="000000" w:themeColor="text1"/>
          <w:sz w:val="24"/>
          <w:u w:val="single"/>
          <w14:textFill>
            <w14:solidFill>
              <w14:schemeClr w14:val="tx1"/>
            </w14:solidFill>
          </w14:textFill>
        </w:rPr>
        <w:t xml:space="preserve">     </w:t>
      </w:r>
      <w:r>
        <w:rPr>
          <w:rFonts w:ascii="宋体" w:hAnsi="宋体" w:cs="楷体"/>
          <w:bCs/>
          <w:color w:val="000000" w:themeColor="text1"/>
          <w:sz w:val="24"/>
          <w:u w:val="single"/>
          <w14:textFill>
            <w14:solidFill>
              <w14:schemeClr w14:val="tx1"/>
            </w14:solidFill>
          </w14:textFill>
        </w:rPr>
        <w:t xml:space="preserve">    </w:t>
      </w:r>
    </w:p>
    <w:p w14:paraId="631F585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二、本协议书的措词和用语与所属建设工程造价咨询合同条件及有关附件同义。</w:t>
      </w:r>
    </w:p>
    <w:p w14:paraId="2F258AA6">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三、下列文件均为本合同的组成部分：</w:t>
      </w:r>
    </w:p>
    <w:p w14:paraId="67A14BD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1．建设工程造价咨询合同标准条件；</w:t>
      </w:r>
    </w:p>
    <w:p w14:paraId="7CE73EB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 建设工程造价咨询合同专用条件；</w:t>
      </w:r>
    </w:p>
    <w:p w14:paraId="63530E7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3．建设工程造价咨询合同执行中共同签署的补充与修正文件。</w:t>
      </w:r>
    </w:p>
    <w:p w14:paraId="35A1FC8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四、乙方同意按照本合同的约定，承担本合同专用条款中约定范围内的建设工程造价咨询业务。</w:t>
      </w:r>
    </w:p>
    <w:p w14:paraId="565DBAC6">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五、甲方同意按照专用条款中约定的期限、方式、币种和额度向乙方支付酬金。</w:t>
      </w:r>
    </w:p>
    <w:p w14:paraId="6A0AEC1F">
      <w:pPr>
        <w:spacing w:line="480" w:lineRule="exact"/>
        <w:ind w:firstLine="464" w:firstLineChars="200"/>
        <w:rPr>
          <w:rFonts w:ascii="宋体" w:hAnsi="宋体" w:cs="楷体"/>
          <w:color w:val="000000" w:themeColor="text1"/>
          <w:spacing w:val="-4"/>
          <w:sz w:val="24"/>
          <w14:textFill>
            <w14:solidFill>
              <w14:schemeClr w14:val="tx1"/>
            </w14:solidFill>
          </w14:textFill>
        </w:rPr>
      </w:pPr>
      <w:r>
        <w:rPr>
          <w:rFonts w:hint="eastAsia" w:ascii="宋体" w:hAnsi="宋体" w:cs="楷体"/>
          <w:color w:val="000000" w:themeColor="text1"/>
          <w:spacing w:val="-4"/>
          <w:sz w:val="24"/>
          <w14:textFill>
            <w14:solidFill>
              <w14:schemeClr w14:val="tx1"/>
            </w14:solidFill>
          </w14:textFill>
        </w:rPr>
        <w:t>六、本合同的建设工程造价咨询业务自</w:t>
      </w:r>
      <w:r>
        <w:rPr>
          <w:rFonts w:hint="eastAsia" w:ascii="宋体" w:hAnsi="宋体" w:cs="楷体"/>
          <w:color w:val="000000" w:themeColor="text1"/>
          <w:spacing w:val="-4"/>
          <w:sz w:val="24"/>
          <w:u w:val="single"/>
          <w14:textFill>
            <w14:solidFill>
              <w14:schemeClr w14:val="tx1"/>
            </w14:solidFill>
          </w14:textFill>
        </w:rPr>
        <w:t>合同签订之日</w:t>
      </w:r>
      <w:r>
        <w:rPr>
          <w:rFonts w:hint="eastAsia" w:ascii="宋体" w:hAnsi="宋体" w:cs="楷体"/>
          <w:color w:val="000000" w:themeColor="text1"/>
          <w:spacing w:val="-4"/>
          <w:sz w:val="24"/>
          <w14:textFill>
            <w14:solidFill>
              <w14:schemeClr w14:val="tx1"/>
            </w14:solidFill>
          </w14:textFill>
        </w:rPr>
        <w:t>开始实施，至</w:t>
      </w:r>
      <w:r>
        <w:rPr>
          <w:rFonts w:hint="eastAsia" w:ascii="宋体" w:hAnsi="宋体" w:cs="楷体"/>
          <w:color w:val="000000" w:themeColor="text1"/>
          <w:spacing w:val="-4"/>
          <w:sz w:val="24"/>
          <w:u w:val="single"/>
          <w14:textFill>
            <w14:solidFill>
              <w14:schemeClr w14:val="tx1"/>
            </w14:solidFill>
          </w14:textFill>
        </w:rPr>
        <w:t>2026</w:t>
      </w:r>
      <w:r>
        <w:rPr>
          <w:rFonts w:hint="eastAsia" w:ascii="宋体" w:hAnsi="宋体" w:cs="楷体"/>
          <w:color w:val="000000" w:themeColor="text1"/>
          <w:spacing w:val="-4"/>
          <w:sz w:val="24"/>
          <w14:textFill>
            <w14:solidFill>
              <w14:schemeClr w14:val="tx1"/>
            </w14:solidFill>
          </w14:textFill>
        </w:rPr>
        <w:t>年</w:t>
      </w:r>
      <w:r>
        <w:rPr>
          <w:rFonts w:hint="eastAsia" w:ascii="宋体" w:hAnsi="宋体" w:cs="楷体"/>
          <w:color w:val="000000" w:themeColor="text1"/>
          <w:spacing w:val="-4"/>
          <w:sz w:val="24"/>
          <w:u w:val="single"/>
          <w14:textFill>
            <w14:solidFill>
              <w14:schemeClr w14:val="tx1"/>
            </w14:solidFill>
          </w14:textFill>
        </w:rPr>
        <w:t>12</w:t>
      </w:r>
      <w:r>
        <w:rPr>
          <w:rFonts w:hint="eastAsia" w:ascii="宋体" w:hAnsi="宋体" w:cs="楷体"/>
          <w:color w:val="000000" w:themeColor="text1"/>
          <w:spacing w:val="-4"/>
          <w:sz w:val="24"/>
          <w14:textFill>
            <w14:solidFill>
              <w14:schemeClr w14:val="tx1"/>
            </w14:solidFill>
          </w14:textFill>
        </w:rPr>
        <w:t>月31日结束。若甲方提供咨询资料延后则时间相应顺延，若增加工作内容具体完成时间另行约定。</w:t>
      </w:r>
    </w:p>
    <w:p w14:paraId="6C1B19CD">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七、通用条款与专用条款相冲突时，以专用条款为准。</w:t>
      </w:r>
    </w:p>
    <w:p w14:paraId="5C800664">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八、本合同一式4份，甲方、乙方各执2份。</w:t>
      </w:r>
    </w:p>
    <w:tbl>
      <w:tblPr>
        <w:tblStyle w:val="22"/>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730"/>
      </w:tblGrid>
      <w:tr w14:paraId="35E67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4" w:hRule="atLeast"/>
        </w:trPr>
        <w:tc>
          <w:tcPr>
            <w:tcW w:w="4990" w:type="dxa"/>
            <w:vAlign w:val="center"/>
          </w:tcPr>
          <w:p w14:paraId="05FBD9D4">
            <w:pPr>
              <w:widowControl/>
              <w:adjustRightInd w:val="0"/>
              <w:snapToGrid w:val="0"/>
              <w:spacing w:line="260" w:lineRule="exact"/>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甲    方</w:t>
            </w:r>
          </w:p>
        </w:tc>
        <w:tc>
          <w:tcPr>
            <w:tcW w:w="4730" w:type="dxa"/>
            <w:vAlign w:val="center"/>
          </w:tcPr>
          <w:p w14:paraId="280660ED">
            <w:pPr>
              <w:widowControl/>
              <w:adjustRightInd w:val="0"/>
              <w:snapToGrid w:val="0"/>
              <w:spacing w:line="260" w:lineRule="exact"/>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乙    方</w:t>
            </w:r>
          </w:p>
        </w:tc>
      </w:tr>
      <w:tr w14:paraId="77F66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08" w:hRule="atLeast"/>
        </w:trPr>
        <w:tc>
          <w:tcPr>
            <w:tcW w:w="4990" w:type="dxa"/>
          </w:tcPr>
          <w:p w14:paraId="513547A1">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0DC229C1">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单位名称（盖章）：盐城师范学院</w:t>
            </w:r>
          </w:p>
          <w:p w14:paraId="2E1D2323">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07B7602B">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法人代表或委托代理人（签名）：</w:t>
            </w:r>
          </w:p>
          <w:p w14:paraId="4494D03B">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tc>
        <w:tc>
          <w:tcPr>
            <w:tcW w:w="4730" w:type="dxa"/>
          </w:tcPr>
          <w:p w14:paraId="2A517EA4">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278B3054">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单位名称（盖章）：</w:t>
            </w:r>
          </w:p>
          <w:p w14:paraId="205D14A5">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321C7493">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法人代表或委托代理人（签名）：</w:t>
            </w:r>
          </w:p>
          <w:p w14:paraId="08E3F915">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tc>
      </w:tr>
    </w:tbl>
    <w:p w14:paraId="6B207724">
      <w:pPr>
        <w:widowControl/>
        <w:jc w:val="left"/>
        <w:rPr>
          <w:rFonts w:ascii="宋体" w:hAnsi="宋体" w:cs="楷体"/>
          <w:bCs/>
          <w:color w:val="000000" w:themeColor="text1"/>
          <w:sz w:val="36"/>
          <w:szCs w:val="36"/>
          <w14:textFill>
            <w14:solidFill>
              <w14:schemeClr w14:val="tx1"/>
            </w14:solidFill>
          </w14:textFill>
        </w:rPr>
      </w:pPr>
    </w:p>
    <w:p w14:paraId="7A24F035">
      <w:pPr>
        <w:spacing w:after="100" w:afterAutospacing="1" w:line="360" w:lineRule="auto"/>
        <w:jc w:val="center"/>
        <w:rPr>
          <w:rFonts w:ascii="宋体" w:hAnsi="宋体" w:cs="楷体"/>
          <w:bCs/>
          <w:color w:val="000000" w:themeColor="text1"/>
          <w:sz w:val="36"/>
          <w:szCs w:val="36"/>
          <w14:textFill>
            <w14:solidFill>
              <w14:schemeClr w14:val="tx1"/>
            </w14:solidFill>
          </w14:textFill>
        </w:rPr>
      </w:pPr>
      <w:r>
        <w:rPr>
          <w:rFonts w:hint="eastAsia" w:ascii="宋体" w:hAnsi="宋体" w:cs="楷体"/>
          <w:bCs/>
          <w:color w:val="000000" w:themeColor="text1"/>
          <w:sz w:val="36"/>
          <w:szCs w:val="36"/>
          <w14:textFill>
            <w14:solidFill>
              <w14:schemeClr w14:val="tx1"/>
            </w14:solidFill>
          </w14:textFill>
        </w:rPr>
        <w:t>第二部分　建设工程结算审核合同通用条款</w:t>
      </w:r>
    </w:p>
    <w:p w14:paraId="1DAF2A98">
      <w:pPr>
        <w:spacing w:line="360" w:lineRule="auto"/>
        <w:jc w:val="center"/>
        <w:rPr>
          <w:rFonts w:ascii="宋体" w:hAnsi="宋体" w:cs="楷体"/>
          <w:b/>
          <w:color w:val="000000" w:themeColor="text1"/>
          <w14:textFill>
            <w14:solidFill>
              <w14:schemeClr w14:val="tx1"/>
            </w14:solidFill>
          </w14:textFill>
        </w:rPr>
      </w:pPr>
      <w:r>
        <w:rPr>
          <w:rFonts w:hint="eastAsia" w:ascii="宋体" w:hAnsi="宋体" w:cs="楷体"/>
          <w:color w:val="000000" w:themeColor="text1"/>
          <w:sz w:val="24"/>
          <w14:textFill>
            <w14:solidFill>
              <w14:schemeClr w14:val="tx1"/>
            </w14:solidFill>
          </w14:textFill>
        </w:rPr>
        <w:t>词语定义、适用语言和法律、法规</w:t>
      </w:r>
    </w:p>
    <w:p w14:paraId="7F984D29">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　第一条</w:t>
      </w:r>
      <w:r>
        <w:rPr>
          <w:rFonts w:hint="eastAsia" w:ascii="宋体" w:hAnsi="宋体" w:cs="楷体"/>
          <w:color w:val="000000" w:themeColor="text1"/>
          <w:sz w:val="24"/>
          <w14:textFill>
            <w14:solidFill>
              <w14:schemeClr w14:val="tx1"/>
            </w14:solidFill>
          </w14:textFill>
        </w:rPr>
        <w:t>　下列名词和用语，除上下文另有规定外具有如下含义。</w:t>
      </w:r>
    </w:p>
    <w:p w14:paraId="3797368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1、“甲方”是指在建设工程结算审核协议书上指明并与乙方在该协议书上签名、盖章的当事人。</w:t>
      </w:r>
    </w:p>
    <w:p w14:paraId="33F35A3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2、“乙方”是指具有《工程造价咨询企业资质证书》，在建设工程结算审核协议书上指明并与甲方在该协议书上签名、盖章的当事人。</w:t>
      </w:r>
    </w:p>
    <w:p w14:paraId="2C02688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3、“第三人”是指除甲方、乙方以外与本咨询业务有关的当事人。</w:t>
      </w:r>
    </w:p>
    <w:p w14:paraId="2B1358F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4、“日”是指任何一个午夜至下一个午夜的时间段。</w:t>
      </w:r>
    </w:p>
    <w:p w14:paraId="154EB4E6">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5、“正常服务”是指双方在专用条款中约定的工程造价咨询工作；</w:t>
      </w:r>
    </w:p>
    <w:p w14:paraId="16413408">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6、“附加服务”是指在“正常服务”以外，经双方书面协议确定的附加服务；</w:t>
      </w:r>
    </w:p>
    <w:p w14:paraId="167C5F78">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7、“额外服务”是指不属于“正常服务”和“附加服务”，乙方增加的额外工作量。</w:t>
      </w:r>
    </w:p>
    <w:p w14:paraId="5B53F271">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第二条</w:t>
      </w:r>
      <w:r>
        <w:rPr>
          <w:rFonts w:hint="eastAsia" w:ascii="宋体" w:hAnsi="宋体" w:cs="楷体"/>
          <w:color w:val="000000" w:themeColor="text1"/>
          <w:sz w:val="24"/>
          <w14:textFill>
            <w14:solidFill>
              <w14:schemeClr w14:val="tx1"/>
            </w14:solidFill>
          </w14:textFill>
        </w:rPr>
        <w:t>　建设工程造价咨询合同适用的法律法规是中华人民共和国的法律法规以及专用条款中约定的部门规章、工程造价有关计价办法、规定及项目所在地的地方法规、地方规章。</w:t>
      </w:r>
    </w:p>
    <w:p w14:paraId="4CBAAB5D">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　第三条</w:t>
      </w:r>
      <w:r>
        <w:rPr>
          <w:rFonts w:hint="eastAsia" w:ascii="宋体" w:hAnsi="宋体" w:cs="楷体"/>
          <w:color w:val="000000" w:themeColor="text1"/>
          <w:sz w:val="24"/>
          <w14:textFill>
            <w14:solidFill>
              <w14:schemeClr w14:val="tx1"/>
            </w14:solidFill>
          </w14:textFill>
        </w:rPr>
        <w:t>　建设工程造价咨询合同的书写、解释和说明，以汉语为主导语言。当不同语言文本发生不同解释时，以汉语合同文本为准。</w:t>
      </w:r>
    </w:p>
    <w:p w14:paraId="76373F50">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乙方的义务</w:t>
      </w:r>
    </w:p>
    <w:p w14:paraId="1179F71F">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第四条</w:t>
      </w:r>
      <w:r>
        <w:rPr>
          <w:rFonts w:hint="eastAsia" w:ascii="宋体" w:hAnsi="宋体" w:cs="楷体"/>
          <w:color w:val="000000" w:themeColor="text1"/>
          <w:sz w:val="24"/>
          <w14:textFill>
            <w14:solidFill>
              <w14:schemeClr w14:val="tx1"/>
            </w14:solidFill>
          </w14:textFill>
        </w:rPr>
        <w:t>　向甲方提供与工程造价咨询业务有关的资料，包括工程造价咨询企业资质证书及承担本合同咨询业务的专业人员名单、咨询工作计划等。</w:t>
      </w:r>
    </w:p>
    <w:p w14:paraId="198D9048">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第五条</w:t>
      </w:r>
      <w:r>
        <w:rPr>
          <w:rFonts w:hint="eastAsia" w:ascii="宋体" w:hAnsi="宋体" w:cs="楷体"/>
          <w:color w:val="000000" w:themeColor="text1"/>
          <w:sz w:val="24"/>
          <w14:textFill>
            <w14:solidFill>
              <w14:schemeClr w14:val="tx1"/>
            </w14:solidFill>
          </w14:textFill>
        </w:rPr>
        <w:t>　乙方按专用条款中约定的工作范围和内容，向甲方提供工程造价咨询专业服务，包括正常服务、附加服务和额外服务。并在合同约定的时间内，提供符合行业管理规定的咨询成果文件。</w:t>
      </w:r>
    </w:p>
    <w:p w14:paraId="22C3DD03">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第六条</w:t>
      </w:r>
      <w:r>
        <w:rPr>
          <w:rFonts w:hint="eastAsia" w:ascii="宋体" w:hAnsi="宋体" w:cs="楷体"/>
          <w:color w:val="000000" w:themeColor="text1"/>
          <w:sz w:val="24"/>
          <w14:textFill>
            <w14:solidFill>
              <w14:schemeClr w14:val="tx1"/>
            </w14:solidFill>
          </w14:textFill>
        </w:rPr>
        <w:t xml:space="preserve">  乙方从事工程造价咨询活动，应当遵循独立、客观、公正、诚实信用的原则，不得损害社会公共利益和他人的合法权益。除甲方书面同意外，乙方及咨询专业人员不应接受建设工程造价咨询合同约定以外的与本工程造价咨询项目有关的任何报酬。乙方不得参与可能影响合同规定的甲方利益的任何活动。</w:t>
      </w:r>
    </w:p>
    <w:p w14:paraId="2249C7C8">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第七条</w:t>
      </w:r>
      <w:r>
        <w:rPr>
          <w:rFonts w:hint="eastAsia" w:ascii="宋体" w:hAnsi="宋体" w:cs="楷体"/>
          <w:color w:val="000000" w:themeColor="text1"/>
          <w:sz w:val="24"/>
          <w14:textFill>
            <w14:solidFill>
              <w14:schemeClr w14:val="tx1"/>
            </w14:solidFill>
          </w14:textFill>
        </w:rPr>
        <w:t>　乙方不得泄露与本合同规定业务活动有关的保密资料。</w:t>
      </w:r>
    </w:p>
    <w:p w14:paraId="364D401F">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甲方的义务</w:t>
      </w:r>
    </w:p>
    <w:p w14:paraId="10FFEAB1">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第八条</w:t>
      </w:r>
      <w:r>
        <w:rPr>
          <w:rFonts w:hint="eastAsia" w:ascii="宋体" w:hAnsi="宋体" w:cs="楷体"/>
          <w:color w:val="000000" w:themeColor="text1"/>
          <w:sz w:val="24"/>
          <w14:textFill>
            <w14:solidFill>
              <w14:schemeClr w14:val="tx1"/>
            </w14:solidFill>
          </w14:textFill>
        </w:rPr>
        <w:t>　甲方应负责与本建设工程造价咨询业务有关的第三人的协调，为乙方工作提供外部条件。甲方应当授权胜任本咨询业务的代表，负责与乙方联系，解决在咨询业务中的委托方问题并代表甲方签署相关文件。</w:t>
      </w:r>
    </w:p>
    <w:p w14:paraId="4F1E4375">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第九条</w:t>
      </w:r>
      <w:r>
        <w:rPr>
          <w:rFonts w:hint="eastAsia" w:ascii="宋体" w:hAnsi="宋体" w:cs="楷体"/>
          <w:color w:val="000000" w:themeColor="text1"/>
          <w:sz w:val="24"/>
          <w14:textFill>
            <w14:solidFill>
              <w14:schemeClr w14:val="tx1"/>
            </w14:solidFill>
          </w14:textFill>
        </w:rPr>
        <w:t>　甲方在约定的时间内，免费向乙方提供与本项目咨询业务有关的资料。并对资料的真实性、完整性负责。</w:t>
      </w:r>
    </w:p>
    <w:p w14:paraId="6A221783">
      <w:pPr>
        <w:spacing w:line="480" w:lineRule="exact"/>
        <w:ind w:left="105" w:leftChars="50" w:firstLine="361" w:firstLineChars="15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第十条</w:t>
      </w:r>
      <w:r>
        <w:rPr>
          <w:rFonts w:hint="eastAsia" w:ascii="宋体" w:hAnsi="宋体" w:cs="楷体"/>
          <w:color w:val="000000" w:themeColor="text1"/>
          <w:sz w:val="24"/>
          <w14:textFill>
            <w14:solidFill>
              <w14:schemeClr w14:val="tx1"/>
            </w14:solidFill>
          </w14:textFill>
        </w:rPr>
        <w:t xml:space="preserve">  甲方在约定的时间内就乙方书面提交并要求做出答复的事宜做出书面答复。　　</w:t>
      </w:r>
    </w:p>
    <w:p w14:paraId="2A4C5BAD">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第十一条</w:t>
      </w:r>
      <w:r>
        <w:rPr>
          <w:rFonts w:hint="eastAsia" w:ascii="宋体" w:hAnsi="宋体" w:cs="楷体"/>
          <w:color w:val="000000" w:themeColor="text1"/>
          <w:sz w:val="24"/>
          <w14:textFill>
            <w14:solidFill>
              <w14:schemeClr w14:val="tx1"/>
            </w14:solidFill>
          </w14:textFill>
        </w:rPr>
        <w:t>　甲方应当按合同条款规定及时支付咨询费用。</w:t>
      </w:r>
    </w:p>
    <w:p w14:paraId="2BAF0B74">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乙方的权利</w:t>
      </w:r>
    </w:p>
    <w:p w14:paraId="7F8B7233">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第十二条</w:t>
      </w:r>
      <w:r>
        <w:rPr>
          <w:rFonts w:hint="eastAsia" w:ascii="宋体" w:hAnsi="宋体" w:cs="楷体"/>
          <w:color w:val="000000" w:themeColor="text1"/>
          <w:sz w:val="24"/>
          <w14:textFill>
            <w14:solidFill>
              <w14:schemeClr w14:val="tx1"/>
            </w14:solidFill>
          </w14:textFill>
        </w:rPr>
        <w:t>　乙方在咨询过程中，如甲方提供的资料不明确时可向甲方提出书面报告。</w:t>
      </w:r>
    </w:p>
    <w:p w14:paraId="6F1B6747">
      <w:pPr>
        <w:spacing w:line="480" w:lineRule="exact"/>
        <w:ind w:firstLine="42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第十三条</w:t>
      </w:r>
      <w:r>
        <w:rPr>
          <w:rFonts w:hint="eastAsia" w:ascii="宋体" w:hAnsi="宋体" w:cs="楷体"/>
          <w:color w:val="000000" w:themeColor="text1"/>
          <w:sz w:val="24"/>
          <w14:textFill>
            <w14:solidFill>
              <w14:schemeClr w14:val="tx1"/>
            </w14:solidFill>
          </w14:textFill>
        </w:rPr>
        <w:t xml:space="preserve">  乙方在咨询过程中，有权对与本咨询业务有关的问题进行核对或查问以及到工程现场勘察。</w:t>
      </w:r>
    </w:p>
    <w:p w14:paraId="48FE45BA">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第十四条</w:t>
      </w:r>
      <w:r>
        <w:rPr>
          <w:rFonts w:hint="eastAsia" w:ascii="宋体" w:hAnsi="宋体" w:cs="楷体"/>
          <w:color w:val="000000" w:themeColor="text1"/>
          <w:sz w:val="24"/>
          <w14:textFill>
            <w14:solidFill>
              <w14:schemeClr w14:val="tx1"/>
            </w14:solidFill>
          </w14:textFill>
        </w:rPr>
        <w:t xml:space="preserve">  乙方在咨询过程中，由于甲方原因造成乙方无法继续履行合同时，乙方有权解除合同并要求甲方承担相应赔偿。</w:t>
      </w:r>
    </w:p>
    <w:p w14:paraId="11C2D131">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第十五条</w:t>
      </w:r>
      <w:r>
        <w:rPr>
          <w:rFonts w:hint="eastAsia" w:ascii="宋体" w:hAnsi="宋体" w:cs="楷体"/>
          <w:color w:val="000000" w:themeColor="text1"/>
          <w:sz w:val="24"/>
          <w14:textFill>
            <w14:solidFill>
              <w14:schemeClr w14:val="tx1"/>
            </w14:solidFill>
          </w14:textFill>
        </w:rPr>
        <w:t xml:space="preserve">  乙方在咨询过程中，有独立执行工程造价咨询业务工作的权利。</w:t>
      </w:r>
    </w:p>
    <w:p w14:paraId="0FBB7EFA">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乙方有权拒绝甲方提出的有失公平、公正及违反法律法规的要求，由此原因造成的咨询合同终止乙方免责。对于造成乙方损失的，由甲方给予赔偿。</w:t>
      </w:r>
    </w:p>
    <w:p w14:paraId="16480058">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甲方的权利</w:t>
      </w:r>
    </w:p>
    <w:p w14:paraId="581EEBC9">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第十六条</w:t>
      </w:r>
      <w:r>
        <w:rPr>
          <w:rFonts w:hint="eastAsia" w:ascii="宋体" w:hAnsi="宋体" w:cs="楷体"/>
          <w:color w:val="000000" w:themeColor="text1"/>
          <w:sz w:val="24"/>
          <w14:textFill>
            <w14:solidFill>
              <w14:schemeClr w14:val="tx1"/>
            </w14:solidFill>
          </w14:textFill>
        </w:rPr>
        <w:t>　甲方有权向乙方询问工作进展情况及相关的内容。</w:t>
      </w:r>
    </w:p>
    <w:p w14:paraId="57424619">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第十七条</w:t>
      </w:r>
      <w:r>
        <w:rPr>
          <w:rFonts w:hint="eastAsia" w:ascii="宋体" w:hAnsi="宋体" w:cs="楷体"/>
          <w:color w:val="000000" w:themeColor="text1"/>
          <w:sz w:val="24"/>
          <w14:textFill>
            <w14:solidFill>
              <w14:schemeClr w14:val="tx1"/>
            </w14:solidFill>
          </w14:textFill>
        </w:rPr>
        <w:t xml:space="preserve">  甲方有权阐述对具体问题的意见和建议。</w:t>
      </w:r>
    </w:p>
    <w:p w14:paraId="3A39C98C">
      <w:pPr>
        <w:spacing w:line="480" w:lineRule="exact"/>
        <w:ind w:firstLine="42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第十八条</w:t>
      </w:r>
      <w:r>
        <w:rPr>
          <w:rFonts w:hint="eastAsia" w:ascii="宋体" w:hAnsi="宋体" w:cs="楷体"/>
          <w:color w:val="000000" w:themeColor="text1"/>
          <w:sz w:val="24"/>
          <w14:textFill>
            <w14:solidFill>
              <w14:schemeClr w14:val="tx1"/>
            </w14:solidFill>
          </w14:textFill>
        </w:rPr>
        <w:t xml:space="preserve">  当甲方认定咨询专业人员不按咨询合同履行其职责，或与第三人串通给甲方造成经济损失的，甲方有权要求更换咨询专业人员，直至终止合同并要求乙方承担相应的赔偿责任。</w:t>
      </w:r>
    </w:p>
    <w:p w14:paraId="3BCE24AF">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第十九条</w:t>
      </w:r>
      <w:r>
        <w:rPr>
          <w:rFonts w:hint="eastAsia" w:ascii="宋体" w:hAnsi="宋体" w:cs="楷体"/>
          <w:color w:val="000000" w:themeColor="text1"/>
          <w:sz w:val="24"/>
          <w14:textFill>
            <w14:solidFill>
              <w14:schemeClr w14:val="tx1"/>
            </w14:solidFill>
          </w14:textFill>
        </w:rPr>
        <w:t xml:space="preserve">  当甲方认定乙方执行的专业咨询业务不符合相关规范时，有向行业主管部门申诉的权利。</w:t>
      </w:r>
    </w:p>
    <w:p w14:paraId="20089B1E">
      <w:pPr>
        <w:spacing w:after="120"/>
        <w:ind w:firstLine="210" w:firstLineChars="100"/>
        <w:rPr>
          <w:color w:val="000000" w:themeColor="text1"/>
          <w14:textFill>
            <w14:solidFill>
              <w14:schemeClr w14:val="tx1"/>
            </w14:solidFill>
          </w14:textFill>
        </w:rPr>
      </w:pPr>
    </w:p>
    <w:p w14:paraId="4D5A6C7E">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乙方的责任</w:t>
      </w:r>
    </w:p>
    <w:p w14:paraId="6E146783">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第二十条</w:t>
      </w:r>
      <w:r>
        <w:rPr>
          <w:rFonts w:hint="eastAsia" w:ascii="宋体" w:hAnsi="宋体" w:cs="楷体"/>
          <w:color w:val="000000" w:themeColor="text1"/>
          <w:sz w:val="24"/>
          <w14:textFill>
            <w14:solidFill>
              <w14:schemeClr w14:val="tx1"/>
            </w14:solidFill>
          </w14:textFill>
        </w:rPr>
        <w:t>　乙方的责任期即建设工程造价咨询合同有效期。乙方责任期内，应当履行建设工程造价咨询合同中约定的义务。因乙方的单方过失造成的经济损失，应当向甲方进行赔偿。累计赔偿总额不应超过建设工程造价咨询酬金总额（除去税金）。</w:t>
      </w:r>
    </w:p>
    <w:p w14:paraId="1E381113">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第二十一条</w:t>
      </w:r>
      <w:r>
        <w:rPr>
          <w:rFonts w:hint="eastAsia" w:ascii="宋体" w:hAnsi="宋体" w:cs="楷体"/>
          <w:color w:val="000000" w:themeColor="text1"/>
          <w:sz w:val="24"/>
          <w14:textFill>
            <w14:solidFill>
              <w14:schemeClr w14:val="tx1"/>
            </w14:solidFill>
          </w14:textFill>
        </w:rPr>
        <w:t>　乙方对甲方或第三人所提出的咨询业务范围内的问题不能及时核对或答复，导致合同不能全部或部分履行，乙方应承担相应的责任。</w:t>
      </w:r>
    </w:p>
    <w:p w14:paraId="7FF8983F">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第二十二条</w:t>
      </w:r>
      <w:r>
        <w:rPr>
          <w:rFonts w:hint="eastAsia" w:ascii="宋体" w:hAnsi="宋体" w:cs="楷体"/>
          <w:color w:val="000000" w:themeColor="text1"/>
          <w:sz w:val="24"/>
          <w14:textFill>
            <w14:solidFill>
              <w14:schemeClr w14:val="tx1"/>
            </w14:solidFill>
          </w14:textFill>
        </w:rPr>
        <w:t>　乙方向甲方提出赔偿要求不能成立时，则应补偿由于该赔偿或其他要求所导致甲方的各种费用的支出。</w:t>
      </w:r>
    </w:p>
    <w:p w14:paraId="65CD7ED3">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甲方的责任</w:t>
      </w:r>
    </w:p>
    <w:p w14:paraId="003918AB">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第二十三条</w:t>
      </w:r>
      <w:r>
        <w:rPr>
          <w:rFonts w:hint="eastAsia" w:ascii="宋体" w:hAnsi="宋体" w:cs="楷体"/>
          <w:color w:val="000000" w:themeColor="text1"/>
          <w:sz w:val="24"/>
          <w14:textFill>
            <w14:solidFill>
              <w14:schemeClr w14:val="tx1"/>
            </w14:solidFill>
          </w14:textFill>
        </w:rPr>
        <w:t>　甲方应当履行建设工程造价咨询合同约定的义务，如有违反则应当承担违约责任，赔偿给乙方造成的损失。</w:t>
      </w:r>
    </w:p>
    <w:p w14:paraId="427F1EBF">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第二十四条</w:t>
      </w:r>
      <w:r>
        <w:rPr>
          <w:rFonts w:hint="eastAsia" w:ascii="宋体" w:hAnsi="宋体" w:cs="楷体"/>
          <w:color w:val="000000" w:themeColor="text1"/>
          <w:sz w:val="24"/>
          <w14:textFill>
            <w14:solidFill>
              <w14:schemeClr w14:val="tx1"/>
            </w14:solidFill>
          </w14:textFill>
        </w:rPr>
        <w:t>　甲方如果向乙方提出赔偿或其他要求不能成立时，则应补偿由于该赔偿或其他要求所导致乙方的各种费用的支出。</w:t>
      </w:r>
    </w:p>
    <w:p w14:paraId="488CA20E">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合同生效、变更与终止</w:t>
      </w:r>
    </w:p>
    <w:p w14:paraId="79A89F9D">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第二十五条</w:t>
      </w:r>
      <w:r>
        <w:rPr>
          <w:rFonts w:hint="eastAsia" w:ascii="宋体" w:hAnsi="宋体" w:cs="楷体"/>
          <w:color w:val="000000" w:themeColor="text1"/>
          <w:sz w:val="24"/>
          <w14:textFill>
            <w14:solidFill>
              <w14:schemeClr w14:val="tx1"/>
            </w14:solidFill>
          </w14:textFill>
        </w:rPr>
        <w:t>　本合同自双方签名盖章之日起生效。</w:t>
      </w:r>
    </w:p>
    <w:p w14:paraId="54B9030E">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第二十六条</w:t>
      </w:r>
      <w:r>
        <w:rPr>
          <w:rFonts w:hint="eastAsia" w:ascii="宋体" w:hAnsi="宋体" w:cs="楷体"/>
          <w:color w:val="000000" w:themeColor="text1"/>
          <w:sz w:val="24"/>
          <w14:textFill>
            <w14:solidFill>
              <w14:schemeClr w14:val="tx1"/>
            </w14:solidFill>
          </w14:textFill>
        </w:rPr>
        <w:t>　由于甲方或第三人的原因使乙方工作受到阻碍、延误或重复以致增加了工作量或延长了约定的咨询时间，则乙方应当将此情况与可能产生的影响及时书面通知甲方。由此增加的工作量视为额外服务，完成建设工程造价咨询工作的时间应当相应延长，并得到额外的酬金。</w:t>
      </w:r>
    </w:p>
    <w:p w14:paraId="1FE351B4">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第二十七条</w:t>
      </w:r>
      <w:r>
        <w:rPr>
          <w:rFonts w:hint="eastAsia" w:ascii="宋体" w:hAnsi="宋体" w:cs="楷体"/>
          <w:color w:val="000000" w:themeColor="text1"/>
          <w:sz w:val="24"/>
          <w14:textFill>
            <w14:solidFill>
              <w14:schemeClr w14:val="tx1"/>
            </w14:solidFill>
          </w14:textFill>
        </w:rPr>
        <w:t>　当事人一方要求变更或解除合同时，则应当在7个工作日前通知对方；因变更或解除合同使一方遭受损失的，应由责任方负责赔偿。</w:t>
      </w:r>
    </w:p>
    <w:p w14:paraId="735D9E00">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第二十八条</w:t>
      </w:r>
      <w:r>
        <w:rPr>
          <w:rFonts w:hint="eastAsia" w:ascii="宋体" w:hAnsi="宋体" w:cs="楷体"/>
          <w:color w:val="000000" w:themeColor="text1"/>
          <w:sz w:val="24"/>
          <w14:textFill>
            <w14:solidFill>
              <w14:schemeClr w14:val="tx1"/>
            </w14:solidFill>
          </w14:textFill>
        </w:rPr>
        <w:t>　乙方由于非自身原因暂停或中止执行建设工程造价咨询业务，由此而增加的恢复执行建设工程造价咨询业务的工作，应视为额外服务，有权得到额外的时间和酬金。</w:t>
      </w:r>
    </w:p>
    <w:p w14:paraId="09F3FFD4">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第二十九条</w:t>
      </w:r>
      <w:r>
        <w:rPr>
          <w:rFonts w:hint="eastAsia" w:ascii="宋体" w:hAnsi="宋体" w:cs="楷体"/>
          <w:color w:val="000000" w:themeColor="text1"/>
          <w:sz w:val="24"/>
          <w14:textFill>
            <w14:solidFill>
              <w14:schemeClr w14:val="tx1"/>
            </w14:solidFill>
          </w14:textFill>
        </w:rPr>
        <w:t>　变更或解除合同的通知或协议应当采取书面形式，新的协议未达成之前，原合同仍然有效。</w:t>
      </w:r>
    </w:p>
    <w:p w14:paraId="5EFC228B">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咨询业务酬金</w:t>
      </w:r>
    </w:p>
    <w:p w14:paraId="2A48705F">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第三十条</w:t>
      </w:r>
      <w:r>
        <w:rPr>
          <w:rFonts w:hint="eastAsia" w:ascii="宋体" w:hAnsi="宋体" w:cs="楷体"/>
          <w:color w:val="000000" w:themeColor="text1"/>
          <w:sz w:val="24"/>
          <w14:textFill>
            <w14:solidFill>
              <w14:schemeClr w14:val="tx1"/>
            </w14:solidFill>
          </w14:textFill>
        </w:rPr>
        <w:t>　正常服务，附加服务和额外服务的酬金，按照建设工程造价咨询合同专用条款约定的方法计取，并按约定的时间、数额和币种支付。</w:t>
      </w:r>
    </w:p>
    <w:p w14:paraId="38DC300C">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第三十一条</w:t>
      </w:r>
      <w:r>
        <w:rPr>
          <w:rFonts w:hint="eastAsia" w:ascii="宋体" w:hAnsi="宋体" w:cs="楷体"/>
          <w:color w:val="000000" w:themeColor="text1"/>
          <w:sz w:val="24"/>
          <w14:textFill>
            <w14:solidFill>
              <w14:schemeClr w14:val="tx1"/>
            </w14:solidFill>
          </w14:textFill>
        </w:rPr>
        <w:t>　如果甲方在规定的支付期限内未支付建设工程造价咨询酬金，自规定支付之日起，应当向乙方补偿应支付的酬金利息。利息额按规定支付期限最后一日银行贷款利率计算。</w:t>
      </w:r>
    </w:p>
    <w:p w14:paraId="72401864">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第三十二条</w:t>
      </w:r>
      <w:r>
        <w:rPr>
          <w:rFonts w:hint="eastAsia" w:ascii="宋体" w:hAnsi="宋体" w:cs="楷体"/>
          <w:color w:val="000000" w:themeColor="text1"/>
          <w:sz w:val="24"/>
          <w14:textFill>
            <w14:solidFill>
              <w14:schemeClr w14:val="tx1"/>
            </w14:solidFill>
          </w14:textFill>
        </w:rPr>
        <w:t>　如果甲方对乙方提交的支付通知书中酬金或部分酬金项目提出异议，应当在收到支付通知书两日内向乙方发出异议的通知，但甲方不得拖延其无异议部分酬金的支付。</w:t>
      </w:r>
    </w:p>
    <w:p w14:paraId="52515291">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第三十三条</w:t>
      </w:r>
      <w:r>
        <w:rPr>
          <w:rFonts w:hint="eastAsia" w:ascii="宋体" w:hAnsi="宋体" w:cs="楷体"/>
          <w:color w:val="000000" w:themeColor="text1"/>
          <w:sz w:val="24"/>
          <w14:textFill>
            <w14:solidFill>
              <w14:schemeClr w14:val="tx1"/>
            </w14:solidFill>
          </w14:textFill>
        </w:rPr>
        <w:t>　支付建设工程造价咨询酬金所采取的货币币种、汇率由合同专用条款约定。</w:t>
      </w:r>
    </w:p>
    <w:p w14:paraId="2F79082D">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其　　他</w:t>
      </w:r>
    </w:p>
    <w:p w14:paraId="011D340E">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第三十四条</w:t>
      </w:r>
      <w:r>
        <w:rPr>
          <w:rFonts w:hint="eastAsia" w:ascii="宋体" w:hAnsi="宋体" w:cs="楷体"/>
          <w:color w:val="000000" w:themeColor="text1"/>
          <w:sz w:val="24"/>
          <w14:textFill>
            <w14:solidFill>
              <w14:schemeClr w14:val="tx1"/>
            </w14:solidFill>
          </w14:textFill>
        </w:rPr>
        <w:t>　因建设工程造价咨询业务的需要，乙方在合同约定外的外出考察，经甲方同意，其所需费用由甲方负责。</w:t>
      </w:r>
    </w:p>
    <w:p w14:paraId="3E236939">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第三十五条</w:t>
      </w:r>
      <w:r>
        <w:rPr>
          <w:rFonts w:hint="eastAsia" w:ascii="宋体" w:hAnsi="宋体" w:cs="楷体"/>
          <w:color w:val="000000" w:themeColor="text1"/>
          <w:sz w:val="24"/>
          <w14:textFill>
            <w14:solidFill>
              <w14:schemeClr w14:val="tx1"/>
            </w14:solidFill>
          </w14:textFill>
        </w:rPr>
        <w:t>　乙方如需外聘专家协助，在委托的建设工程造价咨询业务范围内其费用由乙方承担；在委托的建设工程造价咨询业务范围以外经甲方认可其费用由甲方承担。</w:t>
      </w:r>
    </w:p>
    <w:p w14:paraId="1FBDBE78">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第三十六条</w:t>
      </w:r>
      <w:r>
        <w:rPr>
          <w:rFonts w:hint="eastAsia" w:ascii="宋体" w:hAnsi="宋体" w:cs="楷体"/>
          <w:color w:val="000000" w:themeColor="text1"/>
          <w:sz w:val="24"/>
          <w14:textFill>
            <w14:solidFill>
              <w14:schemeClr w14:val="tx1"/>
            </w14:solidFill>
          </w14:textFill>
        </w:rPr>
        <w:t>　未经对方的书面同意，各方均不得转让合同约定的权利和义务。</w:t>
      </w:r>
    </w:p>
    <w:p w14:paraId="3721D4F9">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第三十七条</w:t>
      </w:r>
      <w:r>
        <w:rPr>
          <w:rFonts w:hint="eastAsia" w:ascii="宋体" w:hAnsi="宋体" w:cs="楷体"/>
          <w:color w:val="000000" w:themeColor="text1"/>
          <w:sz w:val="24"/>
          <w14:textFill>
            <w14:solidFill>
              <w14:schemeClr w14:val="tx1"/>
            </w14:solidFill>
          </w14:textFill>
        </w:rPr>
        <w:t xml:space="preserve">  乙方应对咨询报告的质量负责，甲方有对咨询工作和实施效果进行评价的权利。评价时间在咨询成果报告提交后一个月完成，并根据有关规定填写《咨询效果评价意见表》。对评价结果有争议时，以项目所在地造价行业主管部门裁定意见为准。</w:t>
      </w:r>
    </w:p>
    <w:p w14:paraId="18C6E6FB">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合同争议的解决</w:t>
      </w:r>
    </w:p>
    <w:p w14:paraId="69E58B62">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第三十八条</w:t>
      </w:r>
      <w:r>
        <w:rPr>
          <w:rFonts w:hint="eastAsia" w:ascii="宋体" w:hAnsi="宋体" w:cs="楷体"/>
          <w:color w:val="000000" w:themeColor="text1"/>
          <w:sz w:val="24"/>
          <w14:textFill>
            <w14:solidFill>
              <w14:schemeClr w14:val="tx1"/>
            </w14:solidFill>
          </w14:textFill>
        </w:rPr>
        <w:t>　因违约或终止合同而引起的损失和损害的赔偿，甲方与乙方之间应当协商解决；如未能达成一致，可提交有关主管部门调解；协商或调解不成的，根据双方约定提交仲裁机关仲裁，或向人民法院提起诉讼。</w:t>
      </w:r>
    </w:p>
    <w:p w14:paraId="2F683061">
      <w:pPr>
        <w:spacing w:line="360" w:lineRule="auto"/>
        <w:rPr>
          <w:rFonts w:ascii="宋体" w:hAnsi="宋体" w:cs="楷体"/>
          <w:color w:val="000000" w:themeColor="text1"/>
          <w:sz w:val="24"/>
          <w14:textFill>
            <w14:solidFill>
              <w14:schemeClr w14:val="tx1"/>
            </w14:solidFill>
          </w14:textFill>
        </w:rPr>
      </w:pPr>
    </w:p>
    <w:p w14:paraId="63B5D577">
      <w:pPr>
        <w:spacing w:line="360" w:lineRule="auto"/>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 </w:t>
      </w:r>
    </w:p>
    <w:p w14:paraId="26DBFAAB">
      <w:pPr>
        <w:spacing w:after="100" w:afterAutospacing="1"/>
        <w:jc w:val="center"/>
        <w:rPr>
          <w:rFonts w:ascii="宋体" w:hAnsi="宋体" w:cs="楷体"/>
          <w:b/>
          <w:color w:val="000000" w:themeColor="text1"/>
          <w:sz w:val="30"/>
          <w:szCs w:val="30"/>
          <w14:textFill>
            <w14:solidFill>
              <w14:schemeClr w14:val="tx1"/>
            </w14:solidFill>
          </w14:textFill>
        </w:rPr>
      </w:pPr>
      <w:r>
        <w:rPr>
          <w:rFonts w:hint="eastAsia" w:ascii="宋体" w:hAnsi="宋体" w:cs="楷体"/>
          <w:b/>
          <w:color w:val="000000" w:themeColor="text1"/>
          <w:sz w:val="24"/>
          <w14:textFill>
            <w14:solidFill>
              <w14:schemeClr w14:val="tx1"/>
            </w14:solidFill>
          </w14:textFill>
        </w:rPr>
        <w:br w:type="page"/>
      </w:r>
      <w:r>
        <w:rPr>
          <w:rFonts w:hint="eastAsia" w:ascii="宋体" w:hAnsi="宋体" w:cs="楷体"/>
          <w:bCs/>
          <w:color w:val="000000" w:themeColor="text1"/>
          <w:sz w:val="36"/>
          <w:szCs w:val="36"/>
          <w14:textFill>
            <w14:solidFill>
              <w14:schemeClr w14:val="tx1"/>
            </w14:solidFill>
          </w14:textFill>
        </w:rPr>
        <w:t>第三部分　建设工程造价咨询合同专用条款</w:t>
      </w:r>
    </w:p>
    <w:p w14:paraId="3CDA3808">
      <w:pPr>
        <w:tabs>
          <w:tab w:val="left" w:pos="1260"/>
        </w:tabs>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bCs/>
          <w:color w:val="000000" w:themeColor="text1"/>
          <w:sz w:val="24"/>
          <w14:textFill>
            <w14:solidFill>
              <w14:schemeClr w14:val="tx1"/>
            </w14:solidFill>
          </w14:textFill>
        </w:rPr>
        <w:t>第一条</w:t>
      </w:r>
      <w:r>
        <w:rPr>
          <w:rFonts w:hint="eastAsia" w:ascii="宋体" w:hAnsi="宋体" w:cs="楷体"/>
          <w:color w:val="000000" w:themeColor="text1"/>
          <w:sz w:val="24"/>
          <w14:textFill>
            <w14:solidFill>
              <w14:schemeClr w14:val="tx1"/>
            </w14:solidFill>
          </w14:textFill>
        </w:rPr>
        <w:t xml:space="preserve">  本合同适用的法律、法规及工程造价计价办法和规定</w:t>
      </w:r>
    </w:p>
    <w:p w14:paraId="49899B1C">
      <w:pPr>
        <w:widowControl/>
        <w:spacing w:line="480" w:lineRule="exact"/>
        <w:ind w:firstLine="480" w:firstLineChars="200"/>
        <w:rPr>
          <w:rFonts w:ascii="宋体" w:hAnsi="宋体" w:cs="楷体"/>
          <w:color w:val="000000" w:themeColor="text1"/>
          <w:kern w:val="0"/>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1．适用法律和法规：</w:t>
      </w:r>
      <w:r>
        <w:rPr>
          <w:rFonts w:hint="eastAsia" w:ascii="宋体" w:hAnsi="宋体" w:cs="楷体"/>
          <w:color w:val="000000" w:themeColor="text1"/>
          <w:kern w:val="0"/>
          <w:sz w:val="24"/>
          <w:u w:val="single"/>
          <w14:textFill>
            <w14:solidFill>
              <w14:schemeClr w14:val="tx1"/>
            </w14:solidFill>
          </w14:textFill>
        </w:rPr>
        <w:t>（1）工程造价咨询合同适用的法规是国家的法律、行政法规</w:t>
      </w:r>
      <w:bookmarkStart w:id="14" w:name="_GoBack"/>
      <w:bookmarkEnd w:id="14"/>
      <w:r>
        <w:rPr>
          <w:rFonts w:hint="eastAsia" w:ascii="宋体" w:hAnsi="宋体" w:cs="楷体"/>
          <w:color w:val="000000" w:themeColor="text1"/>
          <w:kern w:val="0"/>
          <w:sz w:val="24"/>
          <w:u w:val="single"/>
          <w14:textFill>
            <w14:solidFill>
              <w14:schemeClr w14:val="tx1"/>
            </w14:solidFill>
          </w14:textFill>
        </w:rPr>
        <w:t>以及专用条件中议定的部门规章或工程所在地的地方法规、地方规章。（2）工程造价合同的书写、解释和说明，以汉语为主导语言。当不同语言文本发生不同解释时，以汉语合同文本为准</w:t>
      </w:r>
      <w:r>
        <w:rPr>
          <w:rFonts w:hint="eastAsia" w:ascii="宋体" w:hAnsi="宋体" w:cs="楷体"/>
          <w:color w:val="000000" w:themeColor="text1"/>
          <w:kern w:val="0"/>
          <w:sz w:val="24"/>
          <w14:textFill>
            <w14:solidFill>
              <w14:schemeClr w14:val="tx1"/>
            </w14:solidFill>
          </w14:textFill>
        </w:rPr>
        <w:t>。</w:t>
      </w:r>
      <w:r>
        <w:rPr>
          <w:rFonts w:hint="eastAsia" w:ascii="宋体" w:hAnsi="宋体" w:cs="楷体"/>
          <w:color w:val="000000" w:themeColor="text1"/>
          <w:sz w:val="24"/>
          <w14:textFill>
            <w14:solidFill>
              <w14:schemeClr w14:val="tx1"/>
            </w14:solidFill>
          </w14:textFill>
        </w:rPr>
        <w:t>　　　　　　　　　　　　　</w:t>
      </w:r>
    </w:p>
    <w:p w14:paraId="4A2F8A34">
      <w:pPr>
        <w:spacing w:line="480" w:lineRule="exact"/>
        <w:ind w:firstLine="480" w:firstLineChars="200"/>
        <w:rPr>
          <w:rFonts w:ascii="宋体" w:hAnsi="宋体" w:cs="楷体"/>
          <w:color w:val="000000" w:themeColor="text1"/>
          <w:kern w:val="0"/>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2．</w:t>
      </w:r>
      <w:r>
        <w:rPr>
          <w:rFonts w:hint="eastAsia" w:ascii="宋体" w:hAnsi="宋体" w:cs="楷体"/>
          <w:color w:val="000000" w:themeColor="text1"/>
          <w:kern w:val="0"/>
          <w:sz w:val="24"/>
          <w14:textFill>
            <w14:solidFill>
              <w14:schemeClr w14:val="tx1"/>
            </w14:solidFill>
          </w14:textFill>
        </w:rPr>
        <w:t>服务费用计算方式：</w:t>
      </w:r>
      <w:r>
        <w:rPr>
          <w:rFonts w:ascii="宋体" w:hAnsi="宋体" w:cs="楷体"/>
          <w:color w:val="000000" w:themeColor="text1"/>
          <w:kern w:val="0"/>
          <w:sz w:val="24"/>
          <w:u w:val="single"/>
          <w14:textFill>
            <w14:solidFill>
              <w14:schemeClr w14:val="tx1"/>
            </w14:solidFill>
          </w14:textFill>
        </w:rPr>
        <w:t>服务费用以</w:t>
      </w:r>
      <w:r>
        <w:rPr>
          <w:rFonts w:hint="eastAsia" w:ascii="宋体" w:hAnsi="宋体" w:cs="楷体"/>
          <w:color w:val="000000" w:themeColor="text1"/>
          <w:kern w:val="0"/>
          <w:sz w:val="24"/>
          <w:u w:val="single"/>
          <w14:textFill>
            <w14:solidFill>
              <w14:schemeClr w14:val="tx1"/>
            </w14:solidFill>
          </w14:textFill>
        </w:rPr>
        <w:t>项目</w:t>
      </w:r>
      <w:r>
        <w:rPr>
          <w:rFonts w:ascii="宋体" w:hAnsi="宋体" w:cs="楷体"/>
          <w:color w:val="000000" w:themeColor="text1"/>
          <w:kern w:val="0"/>
          <w:sz w:val="24"/>
          <w:u w:val="single"/>
          <w14:textFill>
            <w14:solidFill>
              <w14:schemeClr w14:val="tx1"/>
            </w14:solidFill>
          </w14:textFill>
        </w:rPr>
        <w:t>为单位分别计</w:t>
      </w:r>
      <w:r>
        <w:rPr>
          <w:rFonts w:hint="eastAsia" w:ascii="宋体" w:hAnsi="宋体" w:cs="楷体"/>
          <w:color w:val="000000" w:themeColor="text1"/>
          <w:kern w:val="0"/>
          <w:sz w:val="24"/>
          <w:u w:val="single"/>
          <w14:textFill>
            <w14:solidFill>
              <w14:schemeClr w14:val="tx1"/>
            </w14:solidFill>
          </w14:textFill>
        </w:rPr>
        <w:t>算，即     元/项目。总</w:t>
      </w:r>
      <w:r>
        <w:rPr>
          <w:rFonts w:ascii="宋体" w:hAnsi="宋体" w:cs="楷体"/>
          <w:color w:val="000000" w:themeColor="text1"/>
          <w:kern w:val="0"/>
          <w:sz w:val="24"/>
          <w:u w:val="single"/>
          <w14:textFill>
            <w14:solidFill>
              <w14:schemeClr w14:val="tx1"/>
            </w14:solidFill>
          </w14:textFill>
        </w:rPr>
        <w:t>费用</w:t>
      </w:r>
      <w:r>
        <w:rPr>
          <w:rFonts w:hint="eastAsia" w:ascii="宋体" w:hAnsi="宋体" w:cs="楷体"/>
          <w:color w:val="000000" w:themeColor="text1"/>
          <w:kern w:val="0"/>
          <w:sz w:val="24"/>
          <w:u w:val="single"/>
          <w14:textFill>
            <w14:solidFill>
              <w14:schemeClr w14:val="tx1"/>
            </w14:solidFill>
          </w14:textFill>
        </w:rPr>
        <w:t>超过1.26万元以1.26万元计</w:t>
      </w:r>
      <w:r>
        <w:rPr>
          <w:rFonts w:ascii="宋体" w:hAnsi="宋体" w:cs="楷体"/>
          <w:color w:val="000000" w:themeColor="text1"/>
          <w:kern w:val="0"/>
          <w:sz w:val="24"/>
          <w:u w:val="single"/>
          <w14:textFill>
            <w14:solidFill>
              <w14:schemeClr w14:val="tx1"/>
            </w14:solidFill>
          </w14:textFill>
        </w:rPr>
        <w:t>。</w:t>
      </w:r>
    </w:p>
    <w:p w14:paraId="4965875C">
      <w:pPr>
        <w:widowControl/>
        <w:spacing w:line="480" w:lineRule="exact"/>
        <w:ind w:firstLine="480" w:firstLineChars="200"/>
        <w:jc w:val="left"/>
        <w:rPr>
          <w:rFonts w:ascii="宋体" w:hAnsi="宋体" w:cs="楷体"/>
          <w:color w:val="000000" w:themeColor="text1"/>
          <w:kern w:val="0"/>
          <w:sz w:val="24"/>
          <w:u w:val="single"/>
          <w14:textFill>
            <w14:solidFill>
              <w14:schemeClr w14:val="tx1"/>
            </w14:solidFill>
          </w14:textFill>
        </w:rPr>
      </w:pPr>
      <w:r>
        <w:rPr>
          <w:rFonts w:hint="eastAsia" w:ascii="宋体" w:hAnsi="宋体" w:cs="楷体"/>
          <w:color w:val="000000" w:themeColor="text1"/>
          <w:kern w:val="0"/>
          <w:sz w:val="24"/>
          <w14:textFill>
            <w14:solidFill>
              <w14:schemeClr w14:val="tx1"/>
            </w14:solidFill>
          </w14:textFill>
        </w:rPr>
        <w:t>3.标准规范</w:t>
      </w:r>
      <w:r>
        <w:rPr>
          <w:rFonts w:hint="eastAsia" w:ascii="宋体" w:hAnsi="宋体" w:cs="楷体"/>
          <w:color w:val="000000" w:themeColor="text1"/>
          <w:kern w:val="0"/>
          <w:sz w:val="24"/>
          <w:u w:val="single"/>
          <w14:textFill>
            <w14:solidFill>
              <w14:schemeClr w14:val="tx1"/>
            </w14:solidFill>
          </w14:textFill>
        </w:rPr>
        <w:t>：</w:t>
      </w:r>
      <w:r>
        <w:rPr>
          <w:rFonts w:ascii="宋体" w:hAnsi="宋体" w:cs="楷体"/>
          <w:color w:val="000000" w:themeColor="text1"/>
          <w:kern w:val="0"/>
          <w:sz w:val="24"/>
          <w:u w:val="single"/>
          <w14:textFill>
            <w14:solidFill>
              <w14:schemeClr w14:val="tx1"/>
            </w14:solidFill>
          </w14:textFill>
        </w:rPr>
        <w:t>项目施工审批、验收单、工程量清单、工程造价定额、校内独立费</w:t>
      </w:r>
      <w:r>
        <w:rPr>
          <w:rFonts w:hint="eastAsia" w:ascii="宋体" w:hAnsi="宋体" w:cs="楷体"/>
          <w:color w:val="000000" w:themeColor="text1"/>
          <w:kern w:val="0"/>
          <w:sz w:val="24"/>
          <w:u w:val="single"/>
          <w14:textFill>
            <w14:solidFill>
              <w14:schemeClr w14:val="tx1"/>
            </w14:solidFill>
          </w14:textFill>
        </w:rPr>
        <w:t>、《建设工程工程量清单计价规范》（GB50500-2013）等相关文件。　</w:t>
      </w:r>
      <w:r>
        <w:rPr>
          <w:rFonts w:hint="eastAsia" w:ascii="宋体" w:hAnsi="宋体" w:cs="楷体"/>
          <w:color w:val="000000" w:themeColor="text1"/>
          <w:kern w:val="0"/>
          <w:sz w:val="24"/>
          <w14:textFill>
            <w14:solidFill>
              <w14:schemeClr w14:val="tx1"/>
            </w14:solidFill>
          </w14:textFill>
        </w:rPr>
        <w:t>　　　　　</w:t>
      </w:r>
    </w:p>
    <w:p w14:paraId="167CBBD1">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xml:space="preserve">第二条 </w:t>
      </w:r>
      <w:r>
        <w:rPr>
          <w:rFonts w:hint="eastAsia" w:ascii="宋体" w:hAnsi="宋体" w:cs="楷体"/>
          <w:color w:val="000000" w:themeColor="text1"/>
          <w:sz w:val="24"/>
          <w14:textFill>
            <w14:solidFill>
              <w14:schemeClr w14:val="tx1"/>
            </w14:solidFill>
          </w14:textFill>
        </w:rPr>
        <w:t xml:space="preserve"> 本合同咨询项目负责人由</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担任，职务</w:t>
      </w:r>
      <w:r>
        <w:rPr>
          <w:rFonts w:hint="eastAsia" w:ascii="宋体" w:hAnsi="宋体" w:cs="楷体"/>
          <w:color w:val="000000" w:themeColor="text1"/>
          <w:sz w:val="24"/>
          <w:u w:val="single"/>
          <w14:textFill>
            <w14:solidFill>
              <w14:schemeClr w14:val="tx1"/>
            </w14:solidFill>
          </w14:textFill>
        </w:rPr>
        <w:t xml:space="preserve">  造价工程师   </w:t>
      </w:r>
      <w:r>
        <w:rPr>
          <w:rFonts w:hint="eastAsia" w:ascii="宋体" w:hAnsi="宋体" w:cs="楷体"/>
          <w:color w:val="000000" w:themeColor="text1"/>
          <w:sz w:val="24"/>
          <w14:textFill>
            <w14:solidFill>
              <w14:schemeClr w14:val="tx1"/>
            </w14:solidFill>
          </w14:textFill>
        </w:rPr>
        <w:t>，联系方式：</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 xml:space="preserve"> ，负责本咨询项目的具体实施及与委托方的联系等事宜。 </w:t>
      </w:r>
    </w:p>
    <w:p w14:paraId="20614956">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第三条</w:t>
      </w:r>
      <w:r>
        <w:rPr>
          <w:rFonts w:hint="eastAsia" w:ascii="宋体" w:hAnsi="宋体" w:cs="楷体"/>
          <w:color w:val="000000" w:themeColor="text1"/>
          <w:sz w:val="24"/>
          <w14:textFill>
            <w14:solidFill>
              <w14:schemeClr w14:val="tx1"/>
            </w14:solidFill>
          </w14:textFill>
        </w:rPr>
        <w:t>　建设工程造价咨询业务范围及内容：</w:t>
      </w:r>
    </w:p>
    <w:p w14:paraId="5A4D8032">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kern w:val="0"/>
          <w:sz w:val="24"/>
          <w:shd w:val="clear" w:color="auto" w:fill="FFFFFF"/>
          <w14:textFill>
            <w14:solidFill>
              <w14:schemeClr w14:val="tx1"/>
            </w14:solidFill>
          </w14:textFill>
        </w:rPr>
        <w:t>盐城师范学院后勤保障部工程项目</w:t>
      </w:r>
      <w:r>
        <w:rPr>
          <w:rFonts w:hint="eastAsia" w:ascii="宋体"/>
          <w:b/>
          <w:color w:val="000000" w:themeColor="text1"/>
          <w:sz w:val="24"/>
          <w:u w:val="single"/>
          <w14:textFill>
            <w14:solidFill>
              <w14:schemeClr w14:val="tx1"/>
            </w14:solidFill>
          </w14:textFill>
        </w:rPr>
        <w:t>竣工结算审核</w:t>
      </w:r>
      <w:r>
        <w:rPr>
          <w:rFonts w:hint="eastAsia" w:ascii="宋体" w:hAnsi="宋体" w:cs="楷体"/>
          <w:color w:val="000000" w:themeColor="text1"/>
          <w:sz w:val="24"/>
          <w14:textFill>
            <w14:solidFill>
              <w14:schemeClr w14:val="tx1"/>
            </w14:solidFill>
          </w14:textFill>
        </w:rPr>
        <w:t>。</w:t>
      </w:r>
    </w:p>
    <w:p w14:paraId="30D1BE6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委托工程造价咨询业务的内容（下列内容有委托的在□中打□）：　                        </w:t>
      </w:r>
    </w:p>
    <w:p w14:paraId="24D3926B">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工程发承包/招投标阶段</w:t>
      </w:r>
    </w:p>
    <w:p w14:paraId="1CB13EDF">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□审核招标文件造价控制条款</w:t>
      </w:r>
    </w:p>
    <w:p w14:paraId="3F74CFF6">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□编制工程量清单               </w:t>
      </w:r>
    </w:p>
    <w:p w14:paraId="7721CF4B">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□审核工程量清单   </w:t>
      </w:r>
    </w:p>
    <w:p w14:paraId="5EA0FACC">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□参与审查经济标   </w:t>
      </w:r>
    </w:p>
    <w:p w14:paraId="6931AF49">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□参与合同谈判，协助起草合同文本</w:t>
      </w:r>
    </w:p>
    <w:p w14:paraId="04DD332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□其它             </w:t>
      </w:r>
    </w:p>
    <w:p w14:paraId="268E95D3">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工程施工阶段</w:t>
      </w:r>
    </w:p>
    <w:p w14:paraId="72118965">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□分析合同价款（投标报价/发包工程预算），确定工程造价控制目标，编制资金使用计划       </w:t>
      </w:r>
    </w:p>
    <w:p w14:paraId="65E785EA">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□审核工程计量与价款支付        </w:t>
      </w:r>
    </w:p>
    <w:p w14:paraId="5AF67779">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□审核工程索赔与签证费用</w:t>
      </w:r>
    </w:p>
    <w:p w14:paraId="5D2F9EC7">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□审核工程价款调整     </w:t>
      </w:r>
    </w:p>
    <w:p w14:paraId="06E09F5A">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□业主分包的专业工程招标咨询，材料设备询价</w:t>
      </w:r>
    </w:p>
    <w:p w14:paraId="24BDC2BA">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□分析工程投资偏差，调整工程造价控制目标      </w:t>
      </w:r>
    </w:p>
    <w:p w14:paraId="4E4E06A4">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□其它</w:t>
      </w:r>
    </w:p>
    <w:p w14:paraId="7A7DA308">
      <w:pPr>
        <w:tabs>
          <w:tab w:val="left" w:pos="0"/>
        </w:tabs>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szCs w:val="22"/>
          <w14:textFill>
            <w14:solidFill>
              <w14:schemeClr w14:val="tx1"/>
            </w14:solidFill>
          </w14:textFill>
        </w:rPr>
        <w:t>工程竣工阶段</w:t>
      </w:r>
    </w:p>
    <w:p w14:paraId="211EE979">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□编制工程竣工结算书     </w:t>
      </w:r>
    </w:p>
    <w:p w14:paraId="307EDC57">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MS Gothic" w:hAnsi="MS Gothic" w:eastAsia="MS Gothic" w:cs="MS Gothic"/>
          <w:color w:val="000000" w:themeColor="text1"/>
          <w:sz w:val="24"/>
          <w14:textFill>
            <w14:solidFill>
              <w14:schemeClr w14:val="tx1"/>
            </w14:solidFill>
          </w14:textFill>
        </w:rPr>
        <w:t>☑</w:t>
      </w:r>
      <w:r>
        <w:rPr>
          <w:rFonts w:hint="eastAsia" w:ascii="宋体" w:hAnsi="宋体" w:cs="楷体"/>
          <w:color w:val="000000" w:themeColor="text1"/>
          <w:sz w:val="24"/>
          <w14:textFill>
            <w14:solidFill>
              <w14:schemeClr w14:val="tx1"/>
            </w14:solidFill>
          </w14:textFill>
        </w:rPr>
        <w:t xml:space="preserve">审核工程竣工结算   </w:t>
      </w:r>
    </w:p>
    <w:p w14:paraId="0C7A9FC9">
      <w:pPr>
        <w:tabs>
          <w:tab w:val="left" w:pos="0"/>
        </w:tabs>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MS Gothic" w:hAnsi="MS Gothic" w:eastAsia="MS Gothic" w:cs="MS Gothic"/>
          <w:color w:val="000000" w:themeColor="text1"/>
          <w:sz w:val="24"/>
          <w14:textFill>
            <w14:solidFill>
              <w14:schemeClr w14:val="tx1"/>
            </w14:solidFill>
          </w14:textFill>
        </w:rPr>
        <w:t>☑</w:t>
      </w:r>
      <w:r>
        <w:rPr>
          <w:rFonts w:hint="eastAsia" w:ascii="宋体" w:hAnsi="宋体" w:cs="楷体"/>
          <w:color w:val="000000" w:themeColor="text1"/>
          <w:sz w:val="24"/>
          <w14:textFill>
            <w14:solidFill>
              <w14:schemeClr w14:val="tx1"/>
            </w14:solidFill>
          </w14:textFill>
        </w:rPr>
        <w:t xml:space="preserve">其它        </w:t>
      </w:r>
    </w:p>
    <w:p w14:paraId="280BC014">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第四条</w:t>
      </w:r>
      <w:r>
        <w:rPr>
          <w:rFonts w:hint="eastAsia" w:ascii="宋体" w:hAnsi="宋体" w:cs="楷体"/>
          <w:color w:val="000000" w:themeColor="text1"/>
          <w:sz w:val="24"/>
          <w14:textFill>
            <w14:solidFill>
              <w14:schemeClr w14:val="tx1"/>
            </w14:solidFill>
          </w14:textFill>
        </w:rPr>
        <w:t>　双方约定的甲方应提供的建设工程造价咨询材料及提供时间：</w:t>
      </w:r>
      <w:r>
        <w:rPr>
          <w:rFonts w:hint="eastAsia" w:ascii="宋体" w:hAnsi="宋体" w:cs="楷体"/>
          <w:color w:val="000000" w:themeColor="text1"/>
          <w:sz w:val="24"/>
          <w:u w:val="single"/>
          <w14:textFill>
            <w14:solidFill>
              <w14:schemeClr w14:val="tx1"/>
            </w14:solidFill>
          </w14:textFill>
        </w:rPr>
        <w:t>签订合同后每月集中报送一次</w:t>
      </w:r>
      <w:r>
        <w:rPr>
          <w:rFonts w:hint="eastAsia" w:ascii="宋体" w:hAnsi="宋体" w:cs="楷体"/>
          <w:color w:val="000000" w:themeColor="text1"/>
          <w:sz w:val="24"/>
          <w14:textFill>
            <w14:solidFill>
              <w14:schemeClr w14:val="tx1"/>
            </w14:solidFill>
          </w14:textFill>
        </w:rPr>
        <w:t>。</w:t>
      </w:r>
    </w:p>
    <w:p w14:paraId="47FADEF4">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第五条</w:t>
      </w:r>
      <w:r>
        <w:rPr>
          <w:rFonts w:hint="eastAsia" w:ascii="宋体" w:hAnsi="宋体" w:cs="楷体"/>
          <w:color w:val="000000" w:themeColor="text1"/>
          <w:sz w:val="24"/>
          <w14:textFill>
            <w14:solidFill>
              <w14:schemeClr w14:val="tx1"/>
            </w14:solidFill>
          </w14:textFill>
        </w:rPr>
        <w:t>　甲方应</w:t>
      </w:r>
      <w:r>
        <w:rPr>
          <w:rFonts w:hint="eastAsia" w:ascii="宋体" w:hAnsi="宋体" w:cs="楷体"/>
          <w:color w:val="000000" w:themeColor="text1"/>
          <w:sz w:val="24"/>
          <w:u w:val="single"/>
          <w14:textFill>
            <w14:solidFill>
              <w14:schemeClr w14:val="tx1"/>
            </w14:solidFill>
          </w14:textFill>
        </w:rPr>
        <w:t>7</w:t>
      </w:r>
      <w:r>
        <w:rPr>
          <w:rFonts w:hint="eastAsia" w:ascii="宋体" w:hAnsi="宋体" w:cs="楷体"/>
          <w:color w:val="000000" w:themeColor="text1"/>
          <w:sz w:val="24"/>
          <w14:textFill>
            <w14:solidFill>
              <w14:schemeClr w14:val="tx1"/>
            </w14:solidFill>
          </w14:textFill>
        </w:rPr>
        <w:t>日内对乙方书面提交并要求做出答复的事宜做出书面答复。</w:t>
      </w:r>
    </w:p>
    <w:p w14:paraId="4F81DAA9">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第六条</w:t>
      </w:r>
      <w:r>
        <w:rPr>
          <w:rFonts w:hint="eastAsia" w:ascii="宋体" w:hAnsi="宋体" w:cs="楷体"/>
          <w:color w:val="000000" w:themeColor="text1"/>
          <w:sz w:val="24"/>
          <w14:textFill>
            <w14:solidFill>
              <w14:schemeClr w14:val="tx1"/>
            </w14:solidFill>
          </w14:textFill>
        </w:rPr>
        <w:t xml:space="preserve">  甲方授权</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 xml:space="preserve"> ，联系方式：</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，为本咨询业务的代表，负责与乙方联系。</w:t>
      </w:r>
    </w:p>
    <w:p w14:paraId="02687DC7">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第七条</w:t>
      </w:r>
      <w:r>
        <w:rPr>
          <w:rFonts w:hint="eastAsia" w:ascii="宋体" w:hAnsi="宋体" w:cs="楷体"/>
          <w:color w:val="000000" w:themeColor="text1"/>
          <w:sz w:val="24"/>
          <w14:textFill>
            <w14:solidFill>
              <w14:schemeClr w14:val="tx1"/>
            </w14:solidFill>
          </w14:textFill>
        </w:rPr>
        <w:t xml:space="preserve">  乙方在其责任期内如果因自身原因给委托方造成经济损失时，同意按以下办法承担责任，向委托方支付赔偿金：</w:t>
      </w:r>
      <w:r>
        <w:rPr>
          <w:rFonts w:hint="eastAsia" w:ascii="宋体"/>
          <w:color w:val="000000" w:themeColor="text1"/>
          <w:sz w:val="24"/>
          <w:u w:val="single"/>
          <w14:textFill>
            <w14:solidFill>
              <w14:schemeClr w14:val="tx1"/>
            </w14:solidFill>
          </w14:textFill>
        </w:rPr>
        <w:t>按实际造成的损失赔偿</w:t>
      </w:r>
      <w:r>
        <w:rPr>
          <w:rFonts w:hint="eastAsia" w:ascii="宋体" w:hAnsi="宋体" w:cs="楷体"/>
          <w:color w:val="000000" w:themeColor="text1"/>
          <w:sz w:val="24"/>
          <w14:textFill>
            <w14:solidFill>
              <w14:schemeClr w14:val="tx1"/>
            </w14:solidFill>
          </w14:textFill>
        </w:rPr>
        <w:t>。</w:t>
      </w:r>
    </w:p>
    <w:p w14:paraId="608EECD5">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第八条</w:t>
      </w:r>
      <w:r>
        <w:rPr>
          <w:rFonts w:hint="eastAsia" w:ascii="宋体" w:hAnsi="宋体" w:cs="楷体"/>
          <w:color w:val="000000" w:themeColor="text1"/>
          <w:sz w:val="24"/>
          <w14:textFill>
            <w14:solidFill>
              <w14:schemeClr w14:val="tx1"/>
            </w14:solidFill>
          </w14:textFill>
        </w:rPr>
        <w:t xml:space="preserve">  甲方对其提供资料的真实性、完整性和有效性负责，由此造成的乙方工作的缺陷或失误及额外工作由甲方负责对乙方进行赔偿。 </w:t>
      </w:r>
    </w:p>
    <w:p w14:paraId="3E403AE7">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第九条</w:t>
      </w:r>
      <w:r>
        <w:rPr>
          <w:rFonts w:hint="eastAsia" w:ascii="宋体" w:hAnsi="宋体" w:cs="楷体"/>
          <w:color w:val="000000" w:themeColor="text1"/>
          <w:sz w:val="24"/>
          <w14:textFill>
            <w14:solidFill>
              <w14:schemeClr w14:val="tx1"/>
            </w14:solidFill>
          </w14:textFill>
        </w:rPr>
        <w:t xml:space="preserve">  乙方发生额外工作包括：</w:t>
      </w:r>
    </w:p>
    <w:p w14:paraId="07CF08E2">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□由于甲方提供的图纸等条件资料不全或发生变化，乙方根据变化的条件资料发生的重复咨询工作；</w:t>
      </w:r>
    </w:p>
    <w:p w14:paraId="67A4BD8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□实施工程施工阶段造价咨询业务，由于甲方或第三人的原因工程建设周期延长；</w:t>
      </w:r>
    </w:p>
    <w:p w14:paraId="1F1E5503">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□其它。</w:t>
      </w:r>
    </w:p>
    <w:p w14:paraId="78821872">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第十条</w:t>
      </w:r>
      <w:r>
        <w:rPr>
          <w:rFonts w:hint="eastAsia" w:ascii="宋体" w:hAnsi="宋体" w:cs="楷体"/>
          <w:color w:val="000000" w:themeColor="text1"/>
          <w:sz w:val="24"/>
          <w14:textFill>
            <w14:solidFill>
              <w14:schemeClr w14:val="tx1"/>
            </w14:solidFill>
          </w14:textFill>
        </w:rPr>
        <w:t>　甲方同意按以下的计算方法、支付时间与金额，支付乙方的正常服务酬金：</w:t>
      </w:r>
    </w:p>
    <w:p w14:paraId="18EE048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1、正常酬金计算方法</w:t>
      </w:r>
    </w:p>
    <w:p w14:paraId="0415EB7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根据江苏省工程造价行业主管部门及物价部门的有关规定，本项目的咨询服务酬金计算方法为：</w:t>
      </w:r>
    </w:p>
    <w:p w14:paraId="6FBA0AE2">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服务费用以项目为单位分别计算，即     元/项目。总费用超过1.26万元以1.26万元计。此费用为完成全部审计工作所需的全部人工费、办公费、交通费、税收等一切费用。            </w:t>
      </w:r>
    </w:p>
    <w:p w14:paraId="2C13D3E7">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2、正常酬金支付方式</w:t>
      </w:r>
    </w:p>
    <w:p w14:paraId="45267034">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u w:val="single"/>
          <w14:textFill>
            <w14:solidFill>
              <w14:schemeClr w14:val="tx1"/>
            </w14:solidFill>
          </w14:textFill>
        </w:rPr>
        <w:t>年度工程结算审核全部结束后一次性结清。</w:t>
      </w:r>
    </w:p>
    <w:p w14:paraId="2E3EA33E">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3、其他约定：</w:t>
      </w:r>
      <w:r>
        <w:rPr>
          <w:rFonts w:hint="eastAsia" w:ascii="宋体" w:hAnsi="宋体" w:cs="楷体"/>
          <w:color w:val="000000" w:themeColor="text1"/>
          <w:sz w:val="24"/>
          <w:u w:val="single"/>
          <w14:textFill>
            <w14:solidFill>
              <w14:schemeClr w14:val="tx1"/>
            </w14:solidFill>
          </w14:textFill>
        </w:rPr>
        <w:t>双方同意用人民币进行酬金（审核服务费）结算</w:t>
      </w:r>
      <w:r>
        <w:rPr>
          <w:rFonts w:hint="eastAsia" w:ascii="宋体" w:hAnsi="宋体" w:cs="楷体"/>
          <w:color w:val="000000" w:themeColor="text1"/>
          <w:sz w:val="24"/>
          <w14:textFill>
            <w14:solidFill>
              <w14:schemeClr w14:val="tx1"/>
            </w14:solidFill>
          </w14:textFill>
        </w:rPr>
        <w:t xml:space="preserve">。                                   </w:t>
      </w:r>
      <w:r>
        <w:rPr>
          <w:rFonts w:hint="eastAsia" w:ascii="宋体" w:hAnsi="宋体" w:cs="楷体"/>
          <w:color w:val="000000" w:themeColor="text1"/>
          <w:sz w:val="24"/>
          <w:u w:val="single"/>
          <w14:textFill>
            <w14:solidFill>
              <w14:schemeClr w14:val="tx1"/>
            </w14:solidFill>
          </w14:textFill>
        </w:rPr>
        <w:t xml:space="preserve"> </w:t>
      </w:r>
    </w:p>
    <w:p w14:paraId="386F0B4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额外服务酬金：</w:t>
      </w:r>
      <w:r>
        <w:rPr>
          <w:rFonts w:hint="eastAsia" w:ascii="宋体" w:hAnsi="宋体" w:cs="楷体"/>
          <w:color w:val="000000" w:themeColor="text1"/>
          <w:sz w:val="24"/>
          <w:u w:val="single"/>
          <w14:textFill>
            <w14:solidFill>
              <w14:schemeClr w14:val="tx1"/>
            </w14:solidFill>
          </w14:textFill>
        </w:rPr>
        <w:t xml:space="preserve">     另行约定    </w:t>
      </w:r>
    </w:p>
    <w:p w14:paraId="09A2E0EA">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第十一条</w:t>
      </w:r>
      <w:r>
        <w:rPr>
          <w:rFonts w:hint="eastAsia" w:ascii="宋体" w:hAnsi="宋体" w:cs="楷体"/>
          <w:color w:val="000000" w:themeColor="text1"/>
          <w:sz w:val="24"/>
          <w14:textFill>
            <w14:solidFill>
              <w14:schemeClr w14:val="tx1"/>
            </w14:solidFill>
          </w14:textFill>
        </w:rPr>
        <w:t>　双方同意用</w:t>
      </w:r>
      <w:r>
        <w:rPr>
          <w:rFonts w:hint="eastAsia" w:ascii="宋体" w:hAnsi="宋体" w:cs="楷体"/>
          <w:color w:val="000000" w:themeColor="text1"/>
          <w:sz w:val="24"/>
          <w:u w:val="single"/>
          <w14:textFill>
            <w14:solidFill>
              <w14:schemeClr w14:val="tx1"/>
            </w14:solidFill>
          </w14:textFill>
        </w:rPr>
        <w:t xml:space="preserve">银行转账形式 </w:t>
      </w:r>
      <w:r>
        <w:rPr>
          <w:rFonts w:hint="eastAsia" w:ascii="宋体" w:hAnsi="宋体" w:cs="楷体"/>
          <w:color w:val="000000" w:themeColor="text1"/>
          <w:sz w:val="24"/>
          <w14:textFill>
            <w14:solidFill>
              <w14:schemeClr w14:val="tx1"/>
            </w14:solidFill>
          </w14:textFill>
        </w:rPr>
        <w:t>支付酬金，但在支付酬金时必须开具正规的咨询业审计费用发票</w:t>
      </w:r>
    </w:p>
    <w:p w14:paraId="26E2D5B9">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第十二条</w:t>
      </w:r>
      <w:r>
        <w:rPr>
          <w:rFonts w:hint="eastAsia" w:ascii="宋体" w:hAnsi="宋体" w:cs="楷体"/>
          <w:color w:val="000000" w:themeColor="text1"/>
          <w:sz w:val="24"/>
          <w14:textFill>
            <w14:solidFill>
              <w14:schemeClr w14:val="tx1"/>
            </w14:solidFill>
          </w14:textFill>
        </w:rPr>
        <w:t xml:space="preserve">  乙方依据造价行业主管部门及国家的有关规定及要求开展造价咨询工作，咨询质量满足委托方及行业主管的要求。乙方提交的咨询成果报告须文字清晰整齐，有较强的可复查性。为保证咨询质量，甲方与乙方约定，质量奖罚条款如下：</w:t>
      </w:r>
    </w:p>
    <w:p w14:paraId="69A7A3E9">
      <w:pPr>
        <w:widowControl/>
        <w:spacing w:line="480" w:lineRule="exact"/>
        <w:ind w:firstLine="480" w:firstLineChars="200"/>
        <w:rPr>
          <w:rFonts w:ascii="宋体" w:hAnsi="宋体" w:cs="楷体"/>
          <w:color w:val="000000" w:themeColor="text1"/>
          <w:kern w:val="0"/>
          <w:sz w:val="24"/>
          <w:u w:val="single"/>
          <w14:textFill>
            <w14:solidFill>
              <w14:schemeClr w14:val="tx1"/>
            </w14:solidFill>
          </w14:textFill>
        </w:rPr>
      </w:pPr>
      <w:r>
        <w:rPr>
          <w:rFonts w:hint="eastAsia" w:ascii="宋体"/>
          <w:color w:val="000000" w:themeColor="text1"/>
          <w:sz w:val="24"/>
          <w:u w:val="single"/>
          <w14:textFill>
            <w14:solidFill>
              <w14:schemeClr w14:val="tx1"/>
            </w14:solidFill>
          </w14:textFill>
        </w:rPr>
        <w:t>按实际造成的损失赔偿</w:t>
      </w:r>
      <w:r>
        <w:rPr>
          <w:rFonts w:hint="eastAsia" w:ascii="宋体" w:hAnsi="宋体" w:cs="楷体"/>
          <w:color w:val="000000" w:themeColor="text1"/>
          <w:kern w:val="0"/>
          <w:sz w:val="24"/>
          <w:u w:val="single"/>
          <w14:textFill>
            <w14:solidFill>
              <w14:schemeClr w14:val="tx1"/>
            </w14:solidFill>
          </w14:textFill>
        </w:rPr>
        <w:t>。</w:t>
      </w:r>
    </w:p>
    <w:p w14:paraId="189F2C1A">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第十三条</w:t>
      </w:r>
      <w:r>
        <w:rPr>
          <w:rFonts w:hint="eastAsia" w:ascii="宋体" w:hAnsi="宋体" w:cs="楷体"/>
          <w:color w:val="000000" w:themeColor="text1"/>
          <w:sz w:val="24"/>
          <w14:textFill>
            <w14:solidFill>
              <w14:schemeClr w14:val="tx1"/>
            </w14:solidFill>
          </w14:textFill>
        </w:rPr>
        <w:t>　建设工程造价咨询合同在履行过程中发生争议，甲方与乙方应及时协商解决；如未能达成一致，可提交有关主管部门调解；协商或调解不成的，按下列第</w:t>
      </w:r>
      <w:r>
        <w:rPr>
          <w:rFonts w:hint="eastAsia" w:ascii="宋体" w:hAnsi="宋体" w:cs="楷体"/>
          <w:color w:val="000000" w:themeColor="text1"/>
          <w:sz w:val="24"/>
          <w:u w:val="single"/>
          <w14:textFill>
            <w14:solidFill>
              <w14:schemeClr w14:val="tx1"/>
            </w14:solidFill>
          </w14:textFill>
        </w:rPr>
        <w:t xml:space="preserve">2 </w:t>
      </w:r>
      <w:r>
        <w:rPr>
          <w:rFonts w:hint="eastAsia" w:ascii="宋体" w:hAnsi="宋体" w:cs="楷体"/>
          <w:color w:val="000000" w:themeColor="text1"/>
          <w:sz w:val="24"/>
          <w14:textFill>
            <w14:solidFill>
              <w14:schemeClr w14:val="tx1"/>
            </w14:solidFill>
          </w14:textFill>
        </w:rPr>
        <w:t>种方式解决：</w:t>
      </w:r>
    </w:p>
    <w:p w14:paraId="24EF1922">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1、提交</w:t>
      </w:r>
      <w:r>
        <w:rPr>
          <w:rFonts w:hint="eastAsia" w:ascii="宋体" w:hAnsi="宋体" w:cs="楷体"/>
          <w:color w:val="000000" w:themeColor="text1"/>
          <w:sz w:val="24"/>
          <w:u w:val="single"/>
          <w14:textFill>
            <w14:solidFill>
              <w14:schemeClr w14:val="tx1"/>
            </w14:solidFill>
          </w14:textFill>
        </w:rPr>
        <w:t>盐城</w:t>
      </w:r>
      <w:r>
        <w:rPr>
          <w:rFonts w:hint="eastAsia" w:ascii="宋体" w:hAnsi="宋体" w:cs="楷体"/>
          <w:color w:val="000000" w:themeColor="text1"/>
          <w:sz w:val="24"/>
          <w14:textFill>
            <w14:solidFill>
              <w14:schemeClr w14:val="tx1"/>
            </w14:solidFill>
          </w14:textFill>
        </w:rPr>
        <w:t>仲裁委员会仲裁；</w:t>
      </w:r>
    </w:p>
    <w:p w14:paraId="0BD7AB01">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2、依法向</w:t>
      </w:r>
      <w:r>
        <w:rPr>
          <w:rFonts w:hint="eastAsia" w:ascii="宋体" w:hAnsi="宋体" w:cs="楷体"/>
          <w:color w:val="000000" w:themeColor="text1"/>
          <w:sz w:val="24"/>
          <w:u w:val="single"/>
          <w14:textFill>
            <w14:solidFill>
              <w14:schemeClr w14:val="tx1"/>
            </w14:solidFill>
          </w14:textFill>
        </w:rPr>
        <w:t>委托方所在地</w:t>
      </w:r>
      <w:r>
        <w:rPr>
          <w:rFonts w:hint="eastAsia" w:ascii="宋体" w:hAnsi="宋体" w:cs="楷体"/>
          <w:color w:val="000000" w:themeColor="text1"/>
          <w:sz w:val="24"/>
          <w14:textFill>
            <w14:solidFill>
              <w14:schemeClr w14:val="tx1"/>
            </w14:solidFill>
          </w14:textFill>
        </w:rPr>
        <w:t>人民法院起诉。</w:t>
      </w:r>
    </w:p>
    <w:p w14:paraId="477F11A9">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附加协议条款：</w:t>
      </w:r>
    </w:p>
    <w:p w14:paraId="5C5A24B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1、乙方应对咨询结果进行保密，对提供服务项目造价的审核结果未经甲方同意，不可告知除工程项目施工单位以外的其他方，否则造成任何后果均由乙方负责。</w:t>
      </w:r>
    </w:p>
    <w:p w14:paraId="6788A2A8">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依法遵循信用原则，不得损害社会公共利益和他人的合法权益，除甲方书面同意外，乙方不应接受建设工程造价咨询合同约定以外的与本工程造价咨询项目有关的任何报酬，不得参与可能影响合同规定的甲方利益的任何活动，咨询专业人员更不得接受第三方的贿赂，损害甲方的利益，给甲方造成损失的，按实际造成的损失赔偿。</w:t>
      </w:r>
    </w:p>
    <w:p w14:paraId="5BD0ECF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3、乙方在造价咨询活动过程中，应严格按照《江苏省工程造价咨询业务指导规程》程序执行，咨询专业人员应具有相应的资质，并对咨询结果负责。</w:t>
      </w:r>
    </w:p>
    <w:p w14:paraId="1433515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4、甲方授权的本项目咨询业务的代表，应及时通知相关科室报送工程结算资料，并移交乙方。</w:t>
      </w:r>
    </w:p>
    <w:p w14:paraId="06D1D2F9">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5、乙方对甲方移交的工程结算资料要逐一落实，并办理书面登记交接手续，不得外传和遗失。</w:t>
      </w:r>
    </w:p>
    <w:p w14:paraId="22E9B27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6、甲方提供完整的工程结算资料后，乙方须7日内在甲方提供的场所完成审核工作，乙方项目负责人在审核结果上签名确认。</w:t>
      </w:r>
    </w:p>
    <w:p w14:paraId="0EC7B88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7、因乙方原因逾期不能出审核结果的，每逾期一天，乙方应按100元/天向甲方支付违约金。如因此给甲方造成损失的，乙方应当给甲方相应的经济补偿。另乙方逾期20日，甲方有权终止合同。 </w:t>
      </w:r>
    </w:p>
    <w:p w14:paraId="61DF618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 8、如果经终审时发现1万元以上单个项目核减率超5％以上、1万元以下零星维修单个项目核减率超10％以上，则不予结算单个项目审核费。出现其它严重审计质量问题，甲方有权终止合同。</w:t>
      </w:r>
      <w:r>
        <w:rPr>
          <w:rFonts w:hint="eastAsia" w:ascii="宋体" w:hAnsi="宋体" w:cs="楷体"/>
          <w:color w:val="000000" w:themeColor="text1"/>
          <w:sz w:val="24"/>
          <w14:textFill>
            <w14:solidFill>
              <w14:schemeClr w14:val="tx1"/>
            </w14:solidFill>
          </w14:textFill>
        </w:rPr>
        <w:br w:type="page"/>
      </w:r>
    </w:p>
    <w:p w14:paraId="0F016A7C">
      <w:pPr>
        <w:rPr>
          <w:rFonts w:ascii="宋体" w:hAnsi="宋体" w:cs="宋体"/>
          <w:b/>
          <w:bCs/>
          <w:color w:val="000000" w:themeColor="text1"/>
          <w:kern w:val="0"/>
          <w:sz w:val="24"/>
          <w14:textFill>
            <w14:solidFill>
              <w14:schemeClr w14:val="tx1"/>
            </w14:solidFill>
          </w14:textFill>
        </w:rPr>
      </w:pPr>
    </w:p>
    <w:p w14:paraId="5A9BE503">
      <w:pPr>
        <w:widowControl/>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第四章  响应文件格式</w:t>
      </w:r>
    </w:p>
    <w:p w14:paraId="09482A79">
      <w:pPr>
        <w:jc w:val="center"/>
        <w:rPr>
          <w:rFonts w:ascii="宋体" w:hAnsi="宋体"/>
          <w:b/>
          <w:color w:val="000000" w:themeColor="text1"/>
          <w:sz w:val="72"/>
          <w14:textFill>
            <w14:solidFill>
              <w14:schemeClr w14:val="tx1"/>
            </w14:solidFill>
          </w14:textFill>
        </w:rPr>
      </w:pPr>
      <w:bookmarkStart w:id="12" w:name="_Hlt26955039"/>
      <w:bookmarkEnd w:id="12"/>
      <w:bookmarkStart w:id="13" w:name="_Hlt26671244"/>
      <w:bookmarkEnd w:id="13"/>
    </w:p>
    <w:p w14:paraId="75ED0267">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 xml:space="preserve">         </w:t>
      </w:r>
    </w:p>
    <w:p w14:paraId="38A7D796">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  应  文  件</w:t>
      </w:r>
    </w:p>
    <w:p w14:paraId="6DD3CA85">
      <w:pPr>
        <w:jc w:val="center"/>
        <w:rPr>
          <w:rFonts w:ascii="宋体" w:hAnsi="宋体"/>
          <w:b/>
          <w:color w:val="000000" w:themeColor="text1"/>
          <w:sz w:val="72"/>
          <w14:textFill>
            <w14:solidFill>
              <w14:schemeClr w14:val="tx1"/>
            </w14:solidFill>
          </w14:textFill>
        </w:rPr>
      </w:pPr>
    </w:p>
    <w:p w14:paraId="42EF9AA6">
      <w:pPr>
        <w:jc w:val="center"/>
        <w:rPr>
          <w:rFonts w:ascii="宋体" w:hAnsi="宋体"/>
          <w:b/>
          <w:color w:val="000000" w:themeColor="text1"/>
          <w:sz w:val="36"/>
          <w14:textFill>
            <w14:solidFill>
              <w14:schemeClr w14:val="tx1"/>
            </w14:solidFill>
          </w14:textFill>
        </w:rPr>
      </w:pPr>
    </w:p>
    <w:p w14:paraId="00D0F250">
      <w:pPr>
        <w:jc w:val="center"/>
        <w:rPr>
          <w:rFonts w:ascii="宋体" w:hAnsi="宋体"/>
          <w:b/>
          <w:color w:val="000000" w:themeColor="text1"/>
          <w:sz w:val="36"/>
          <w14:textFill>
            <w14:solidFill>
              <w14:schemeClr w14:val="tx1"/>
            </w14:solidFill>
          </w14:textFill>
        </w:rPr>
      </w:pPr>
    </w:p>
    <w:p w14:paraId="54459F02">
      <w:pPr>
        <w:pStyle w:val="8"/>
        <w:ind w:firstLine="177"/>
        <w:rPr>
          <w:rFonts w:ascii="宋体" w:hAnsi="宋体"/>
          <w:b/>
          <w:color w:val="000000" w:themeColor="text1"/>
          <w:sz w:val="36"/>
          <w14:textFill>
            <w14:solidFill>
              <w14:schemeClr w14:val="tx1"/>
            </w14:solidFill>
          </w14:textFill>
        </w:rPr>
      </w:pPr>
    </w:p>
    <w:p w14:paraId="74DBC386">
      <w:pPr>
        <w:rPr>
          <w:color w:val="000000" w:themeColor="text1"/>
          <w14:textFill>
            <w14:solidFill>
              <w14:schemeClr w14:val="tx1"/>
            </w14:solidFill>
          </w14:textFill>
        </w:rPr>
      </w:pPr>
    </w:p>
    <w:p w14:paraId="24550702">
      <w:pPr>
        <w:jc w:val="center"/>
        <w:rPr>
          <w:rFonts w:ascii="宋体" w:hAnsi="宋体"/>
          <w:b/>
          <w:color w:val="000000" w:themeColor="text1"/>
          <w:sz w:val="36"/>
          <w14:textFill>
            <w14:solidFill>
              <w14:schemeClr w14:val="tx1"/>
            </w14:solidFill>
          </w14:textFill>
        </w:rPr>
      </w:pPr>
    </w:p>
    <w:p w14:paraId="0960F49B">
      <w:pPr>
        <w:spacing w:line="480" w:lineRule="auto"/>
        <w:ind w:firstLine="1084" w:firstLineChars="300"/>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 称：</w:t>
      </w:r>
      <w:r>
        <w:rPr>
          <w:rFonts w:hint="eastAsia" w:ascii="宋体" w:hAnsi="宋体"/>
          <w:b/>
          <w:color w:val="000000" w:themeColor="text1"/>
          <w:sz w:val="36"/>
          <w:u w:val="single"/>
          <w14:textFill>
            <w14:solidFill>
              <w14:schemeClr w14:val="tx1"/>
            </w14:solidFill>
          </w14:textFill>
        </w:rPr>
        <w:t xml:space="preserve">               </w:t>
      </w:r>
    </w:p>
    <w:p w14:paraId="5C8003ED">
      <w:pPr>
        <w:spacing w:line="480" w:lineRule="auto"/>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p>
    <w:p w14:paraId="17BFFB2E">
      <w:pPr>
        <w:spacing w:line="480" w:lineRule="auto"/>
        <w:ind w:firstLine="1084" w:firstLineChars="300"/>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供应商名称 ：</w:t>
      </w:r>
      <w:r>
        <w:rPr>
          <w:rFonts w:hint="eastAsia" w:ascii="宋体" w:hAnsi="宋体"/>
          <w:b/>
          <w:color w:val="000000" w:themeColor="text1"/>
          <w:sz w:val="36"/>
          <w:u w:val="single"/>
          <w14:textFill>
            <w14:solidFill>
              <w14:schemeClr w14:val="tx1"/>
            </w14:solidFill>
          </w14:textFill>
        </w:rPr>
        <w:t xml:space="preserve">               </w:t>
      </w:r>
    </w:p>
    <w:p w14:paraId="060964D3">
      <w:pPr>
        <w:spacing w:line="480" w:lineRule="auto"/>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p>
    <w:p w14:paraId="4FAE3FEF">
      <w:pPr>
        <w:spacing w:line="480" w:lineRule="auto"/>
        <w:ind w:firstLine="1084" w:firstLineChars="30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日      期 ：</w:t>
      </w:r>
      <w:r>
        <w:rPr>
          <w:rFonts w:hint="eastAsia" w:ascii="宋体" w:hAnsi="宋体"/>
          <w:b/>
          <w:color w:val="000000" w:themeColor="text1"/>
          <w:sz w:val="36"/>
          <w:u w:val="single"/>
          <w14:textFill>
            <w14:solidFill>
              <w14:schemeClr w14:val="tx1"/>
            </w14:solidFill>
          </w14:textFill>
        </w:rPr>
        <w:t xml:space="preserve">               </w:t>
      </w:r>
    </w:p>
    <w:p w14:paraId="694862FB">
      <w:pPr>
        <w:spacing w:line="500" w:lineRule="exact"/>
        <w:rPr>
          <w:rFonts w:ascii="宋体" w:hAnsi="宋体" w:cs="宋体"/>
          <w:b/>
          <w:bCs/>
          <w:color w:val="000000" w:themeColor="text1"/>
          <w:sz w:val="32"/>
          <w:szCs w:val="32"/>
          <w14:textFill>
            <w14:solidFill>
              <w14:schemeClr w14:val="tx1"/>
            </w14:solidFill>
          </w14:textFill>
        </w:rPr>
      </w:pPr>
    </w:p>
    <w:p w14:paraId="22AEB92F">
      <w:pPr>
        <w:rPr>
          <w:rFonts w:ascii="宋体" w:hAnsi="宋体"/>
          <w:color w:val="000000" w:themeColor="text1"/>
          <w:sz w:val="24"/>
          <w14:textFill>
            <w14:solidFill>
              <w14:schemeClr w14:val="tx1"/>
            </w14:solidFill>
          </w14:textFill>
        </w:rPr>
      </w:pPr>
    </w:p>
    <w:p w14:paraId="63E5392E">
      <w:pPr>
        <w:wordWrap w:val="0"/>
        <w:spacing w:line="500" w:lineRule="exact"/>
        <w:jc w:val="center"/>
        <w:rPr>
          <w:rFonts w:ascii="宋体" w:hAnsi="宋体"/>
          <w:b/>
          <w:color w:val="000000" w:themeColor="text1"/>
          <w:sz w:val="44"/>
          <w:szCs w:val="44"/>
          <w14:textFill>
            <w14:solidFill>
              <w14:schemeClr w14:val="tx1"/>
            </w14:solidFill>
          </w14:textFill>
        </w:rPr>
      </w:pPr>
    </w:p>
    <w:p w14:paraId="20A34CA2">
      <w:pPr>
        <w:jc w:val="lef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br w:type="page"/>
      </w:r>
    </w:p>
    <w:p w14:paraId="050CF2C3">
      <w:pPr>
        <w:wordWrap w:val="0"/>
        <w:spacing w:line="360" w:lineRule="auto"/>
        <w:jc w:val="center"/>
        <w:rPr>
          <w:rFonts w:ascii="宋体" w:hAnsi="宋体"/>
          <w:b/>
          <w:color w:val="000000" w:themeColor="text1"/>
          <w:sz w:val="44"/>
          <w:szCs w:val="44"/>
          <w14:textFill>
            <w14:solidFill>
              <w14:schemeClr w14:val="tx1"/>
            </w14:solidFill>
          </w14:textFill>
        </w:rPr>
      </w:pPr>
    </w:p>
    <w:p w14:paraId="2B6799AE">
      <w:pPr>
        <w:wordWrap w:val="0"/>
        <w:spacing w:line="50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授权委托书</w:t>
      </w:r>
    </w:p>
    <w:p w14:paraId="7ED640AC">
      <w:pPr>
        <w:wordWrap w:val="0"/>
        <w:spacing w:line="360" w:lineRule="auto"/>
        <w:jc w:val="center"/>
        <w:rPr>
          <w:rFonts w:ascii="宋体" w:hAnsi="宋体"/>
          <w:color w:val="000000" w:themeColor="text1"/>
          <w:sz w:val="44"/>
          <w14:textFill>
            <w14:solidFill>
              <w14:schemeClr w14:val="tx1"/>
            </w14:solidFill>
          </w14:textFill>
        </w:rPr>
      </w:pPr>
    </w:p>
    <w:p w14:paraId="151A421A">
      <w:pPr>
        <w:topLinePunct/>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（报价单位名称）的法定代表人，现授权委托</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（单位名称）的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w:t>
      </w:r>
      <w:r>
        <w:rPr>
          <w:rFonts w:hint="eastAsia" w:ascii="宋体" w:hAnsi="宋体" w:cs="宋体"/>
          <w:color w:val="000000" w:themeColor="text1"/>
          <w:sz w:val="24"/>
          <w14:textFill>
            <w14:solidFill>
              <w14:schemeClr w14:val="tx1"/>
            </w14:solidFill>
          </w14:textFill>
        </w:rPr>
        <w:t>代理人根据授权，以我方名义签署、澄清、说明、补正、递交、撤回、修改</w:t>
      </w:r>
      <w:r>
        <w:rPr>
          <w:rFonts w:hint="eastAsia" w:ascii="宋体" w:hAnsi="宋体" w:cs="宋体"/>
          <w:color w:val="000000" w:themeColor="text1"/>
          <w:sz w:val="24"/>
          <w:u w:val="single"/>
          <w14:textFill>
            <w14:solidFill>
              <w14:schemeClr w14:val="tx1"/>
            </w14:solidFill>
          </w14:textFill>
        </w:rPr>
        <w:t xml:space="preserve">   盐城师范学院后勤保障部工程结算初审委托服务  </w:t>
      </w:r>
      <w:r>
        <w:rPr>
          <w:rFonts w:hint="eastAsia" w:ascii="宋体" w:hAnsi="宋体" w:cs="宋体"/>
          <w:color w:val="000000" w:themeColor="text1"/>
          <w:sz w:val="24"/>
          <w14:textFill>
            <w14:solidFill>
              <w14:schemeClr w14:val="tx1"/>
            </w14:solidFill>
          </w14:textFill>
        </w:rPr>
        <w:t>（项目名称）响应文件、签订合同和处理有关事宜，其法律后果由我方承担。</w:t>
      </w:r>
    </w:p>
    <w:p w14:paraId="058A9713">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8F6019D">
      <w:pPr>
        <w:spacing w:line="440" w:lineRule="exact"/>
        <w:ind w:firstLine="480" w:firstLineChars="200"/>
        <w:rPr>
          <w:rFonts w:ascii="宋体" w:hAnsi="宋体" w:cs="宋体"/>
          <w:color w:val="000000" w:themeColor="text1"/>
          <w:sz w:val="24"/>
          <w14:textFill>
            <w14:solidFill>
              <w14:schemeClr w14:val="tx1"/>
            </w14:solidFill>
          </w14:textFill>
        </w:rPr>
      </w:pPr>
    </w:p>
    <w:p w14:paraId="1020B3E3">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0AD3F987">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附：法定代表人身份证明</w:t>
      </w:r>
    </w:p>
    <w:p w14:paraId="6886D62A">
      <w:pPr>
        <w:spacing w:line="440" w:lineRule="exact"/>
        <w:rPr>
          <w:rFonts w:ascii="宋体" w:hAnsi="宋体" w:cs="宋体"/>
          <w:color w:val="000000" w:themeColor="text1"/>
          <w:sz w:val="24"/>
          <w14:textFill>
            <w14:solidFill>
              <w14:schemeClr w14:val="tx1"/>
            </w14:solidFill>
          </w14:textFill>
        </w:rPr>
      </w:pPr>
    </w:p>
    <w:p w14:paraId="0F3AF1D8">
      <w:pPr>
        <w:spacing w:line="440" w:lineRule="exact"/>
        <w:rPr>
          <w:rFonts w:ascii="宋体" w:hAnsi="宋体" w:cs="宋体"/>
          <w:color w:val="000000" w:themeColor="text1"/>
          <w:sz w:val="24"/>
          <w14:textFill>
            <w14:solidFill>
              <w14:schemeClr w14:val="tx1"/>
            </w14:solidFill>
          </w14:textFill>
        </w:rPr>
      </w:pPr>
    </w:p>
    <w:p w14:paraId="117C1D43">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报价单位：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14:paraId="45C5E3B3">
      <w:pPr>
        <w:spacing w:line="440" w:lineRule="exact"/>
        <w:rPr>
          <w:rFonts w:ascii="宋体" w:hAnsi="宋体" w:cs="宋体"/>
          <w:color w:val="000000" w:themeColor="text1"/>
          <w:sz w:val="24"/>
          <w14:textFill>
            <w14:solidFill>
              <w14:schemeClr w14:val="tx1"/>
            </w14:solidFill>
          </w14:textFill>
        </w:rPr>
      </w:pPr>
    </w:p>
    <w:p w14:paraId="72A42D70">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（签名或盖章）</w:t>
      </w:r>
    </w:p>
    <w:p w14:paraId="2E859046">
      <w:pPr>
        <w:spacing w:line="440" w:lineRule="exact"/>
        <w:rPr>
          <w:rFonts w:ascii="宋体" w:hAnsi="宋体" w:cs="宋体"/>
          <w:color w:val="000000" w:themeColor="text1"/>
          <w:sz w:val="24"/>
          <w14:textFill>
            <w14:solidFill>
              <w14:schemeClr w14:val="tx1"/>
            </w14:solidFill>
          </w14:textFill>
        </w:rPr>
      </w:pPr>
    </w:p>
    <w:p w14:paraId="51FCDDC4">
      <w:pPr>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 xml:space="preserve">                               </w:t>
      </w:r>
    </w:p>
    <w:p w14:paraId="2A3AA0CE">
      <w:pPr>
        <w:spacing w:line="440" w:lineRule="exact"/>
        <w:rPr>
          <w:rFonts w:ascii="宋体" w:hAnsi="宋体" w:cs="宋体"/>
          <w:color w:val="000000" w:themeColor="text1"/>
          <w:sz w:val="24"/>
          <w14:textFill>
            <w14:solidFill>
              <w14:schemeClr w14:val="tx1"/>
            </w14:solidFill>
          </w14:textFill>
        </w:rPr>
      </w:pPr>
    </w:p>
    <w:p w14:paraId="481F277A">
      <w:pPr>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w:t>
      </w:r>
      <w:r>
        <w:rPr>
          <w:rFonts w:hint="eastAsia" w:ascii="宋体" w:hAnsi="宋体" w:cs="宋体"/>
          <w:color w:val="000000" w:themeColor="text1"/>
          <w:sz w:val="24"/>
          <w:u w:val="single"/>
          <w14:textFill>
            <w14:solidFill>
              <w14:schemeClr w14:val="tx1"/>
            </w14:solidFill>
          </w14:textFill>
        </w:rPr>
        <w:t xml:space="preserve">                               </w:t>
      </w:r>
    </w:p>
    <w:p w14:paraId="689C696D">
      <w:pPr>
        <w:spacing w:line="440" w:lineRule="exact"/>
        <w:rPr>
          <w:rFonts w:ascii="宋体" w:hAnsi="宋体" w:cs="宋体"/>
          <w:color w:val="000000" w:themeColor="text1"/>
          <w:sz w:val="24"/>
          <w14:textFill>
            <w14:solidFill>
              <w14:schemeClr w14:val="tx1"/>
            </w14:solidFill>
          </w14:textFill>
        </w:rPr>
      </w:pPr>
    </w:p>
    <w:p w14:paraId="1A4B22CA">
      <w:pPr>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 xml:space="preserve">                               </w:t>
      </w:r>
    </w:p>
    <w:p w14:paraId="7EA83817">
      <w:pPr>
        <w:spacing w:line="440" w:lineRule="exact"/>
        <w:rPr>
          <w:rFonts w:ascii="宋体" w:hAnsi="宋体" w:cs="宋体"/>
          <w:color w:val="000000" w:themeColor="text1"/>
          <w:sz w:val="24"/>
          <w14:textFill>
            <w14:solidFill>
              <w14:schemeClr w14:val="tx1"/>
            </w14:solidFill>
          </w14:textFill>
        </w:rPr>
      </w:pPr>
    </w:p>
    <w:p w14:paraId="135AA415">
      <w:pPr>
        <w:spacing w:line="440" w:lineRule="exact"/>
        <w:rPr>
          <w:rFonts w:ascii="宋体" w:hAnsi="宋体" w:cs="宋体"/>
          <w:color w:val="000000" w:themeColor="text1"/>
          <w:sz w:val="24"/>
          <w14:textFill>
            <w14:solidFill>
              <w14:schemeClr w14:val="tx1"/>
            </w14:solidFill>
          </w14:textFill>
        </w:rPr>
      </w:pPr>
    </w:p>
    <w:p w14:paraId="5ADDC80C">
      <w:pPr>
        <w:spacing w:before="120" w:beforeLines="50" w:after="240" w:afterLines="100" w:line="44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852E7EF">
      <w:pPr>
        <w:wordWrap w:val="0"/>
        <w:spacing w:line="360" w:lineRule="auto"/>
        <w:ind w:firstLine="480" w:firstLineChars="200"/>
        <w:rPr>
          <w:rFonts w:ascii="宋体" w:hAnsi="宋体"/>
          <w:color w:val="000000" w:themeColor="text1"/>
          <w:sz w:val="24"/>
          <w14:textFill>
            <w14:solidFill>
              <w14:schemeClr w14:val="tx1"/>
            </w14:solidFill>
          </w14:textFill>
        </w:rPr>
      </w:pPr>
    </w:p>
    <w:p w14:paraId="541712DB">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3E9BE9FA">
      <w:pPr>
        <w:wordWrap w:val="0"/>
        <w:spacing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0"/>
          <w:szCs w:val="44"/>
          <w14:textFill>
            <w14:solidFill>
              <w14:schemeClr w14:val="tx1"/>
            </w14:solidFill>
          </w14:textFill>
        </w:rPr>
        <w:t>后勤保障部工程结算初审委托服务报价单</w:t>
      </w:r>
    </w:p>
    <w:tbl>
      <w:tblPr>
        <w:tblStyle w:val="2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7173"/>
      </w:tblGrid>
      <w:tr w14:paraId="0A84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2" w:hRule="atLeast"/>
        </w:trPr>
        <w:tc>
          <w:tcPr>
            <w:tcW w:w="1888" w:type="dxa"/>
            <w:shd w:val="clear" w:color="auto" w:fill="auto"/>
            <w:vAlign w:val="center"/>
          </w:tcPr>
          <w:p w14:paraId="009A20A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业务内容</w:t>
            </w:r>
          </w:p>
        </w:tc>
        <w:tc>
          <w:tcPr>
            <w:tcW w:w="7173" w:type="dxa"/>
            <w:shd w:val="clear" w:color="auto" w:fill="auto"/>
            <w:vAlign w:val="center"/>
          </w:tcPr>
          <w:p w14:paraId="6A884FBF">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根据采购人提供的项目工程资料及国家和省、市建设行政主管部门的有关工程造价计价标准和规定完成工程结算审核业务，服务期限为</w:t>
            </w:r>
            <w:r>
              <w:rPr>
                <w:rFonts w:hint="eastAsia" w:ascii="宋体" w:hAnsi="宋体"/>
                <w:color w:val="000000" w:themeColor="text1"/>
                <w:sz w:val="24"/>
                <w:u w:val="single"/>
                <w14:textFill>
                  <w14:solidFill>
                    <w14:schemeClr w14:val="tx1"/>
                  </w14:solidFill>
                </w14:textFill>
              </w:rPr>
              <w:t>自合同签订之日起</w:t>
            </w:r>
            <w:r>
              <w:rPr>
                <w:rFonts w:hint="eastAsia" w:ascii="宋体" w:hAnsi="宋体"/>
                <w:color w:val="000000" w:themeColor="text1"/>
                <w:sz w:val="24"/>
                <w14:textFill>
                  <w14:solidFill>
                    <w14:schemeClr w14:val="tx1"/>
                  </w14:solidFill>
                </w14:textFill>
              </w:rPr>
              <w:t>至</w:t>
            </w:r>
            <w:r>
              <w:rPr>
                <w:rFonts w:hint="eastAsia" w:ascii="宋体" w:hAnsi="宋体"/>
                <w:color w:val="000000" w:themeColor="text1"/>
                <w:sz w:val="24"/>
                <w:u w:val="single"/>
                <w14:textFill>
                  <w14:solidFill>
                    <w14:schemeClr w14:val="tx1"/>
                  </w14:solidFill>
                </w14:textFill>
              </w:rPr>
              <w:t>2026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12</w:t>
            </w:r>
            <w:r>
              <w:rPr>
                <w:rFonts w:hint="eastAsia" w:ascii="宋体" w:hAnsi="宋体"/>
                <w:color w:val="000000" w:themeColor="text1"/>
                <w:sz w:val="24"/>
                <w14:textFill>
                  <w14:solidFill>
                    <w14:schemeClr w14:val="tx1"/>
                  </w14:solidFill>
                </w14:textFill>
              </w:rPr>
              <w:t>月31日止。</w:t>
            </w:r>
          </w:p>
        </w:tc>
      </w:tr>
      <w:tr w14:paraId="2080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88" w:type="dxa"/>
            <w:shd w:val="clear" w:color="auto" w:fill="auto"/>
            <w:vAlign w:val="center"/>
          </w:tcPr>
          <w:p w14:paraId="3486CA8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业务概况</w:t>
            </w:r>
          </w:p>
        </w:tc>
        <w:tc>
          <w:tcPr>
            <w:tcW w:w="7173" w:type="dxa"/>
            <w:shd w:val="clear" w:color="auto" w:fill="auto"/>
            <w:vAlign w:val="center"/>
          </w:tcPr>
          <w:p w14:paraId="18D6A8A2">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1万元以上项目约20个，1万元以下零星维修项目约400个。</w:t>
            </w:r>
          </w:p>
        </w:tc>
      </w:tr>
      <w:tr w14:paraId="585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1888" w:type="dxa"/>
            <w:shd w:val="clear" w:color="auto" w:fill="auto"/>
            <w:vAlign w:val="center"/>
          </w:tcPr>
          <w:p w14:paraId="5D80E25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服务要求</w:t>
            </w:r>
          </w:p>
        </w:tc>
        <w:tc>
          <w:tcPr>
            <w:tcW w:w="7173" w:type="dxa"/>
            <w:shd w:val="clear" w:color="auto" w:fill="auto"/>
            <w:vAlign w:val="center"/>
          </w:tcPr>
          <w:p w14:paraId="20630308">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审核结算资料。审核内容包括但不限于：工作量是否准确（根据采购人的工作需要，现场复核工作量）；认价材料价格是否合理；套用定额以及独立费是否合理规范等。中标单位项目负责人须对初审结果签名确认。</w:t>
            </w:r>
          </w:p>
          <w:p w14:paraId="5002308B">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2.根据采购人的工作安排，7日内完成相关结算审核业务。</w:t>
            </w:r>
          </w:p>
        </w:tc>
      </w:tr>
      <w:tr w14:paraId="76DE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1888" w:type="dxa"/>
            <w:shd w:val="clear" w:color="auto" w:fill="auto"/>
            <w:vAlign w:val="center"/>
          </w:tcPr>
          <w:p w14:paraId="555BA1F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审核责任</w:t>
            </w:r>
          </w:p>
        </w:tc>
        <w:tc>
          <w:tcPr>
            <w:tcW w:w="7173" w:type="dxa"/>
            <w:shd w:val="clear" w:color="auto" w:fill="auto"/>
            <w:vAlign w:val="center"/>
          </w:tcPr>
          <w:p w14:paraId="5F9F259F">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如果经终审时发现1万元以上单个项目核减率超5％</w:t>
            </w:r>
            <w:r>
              <w:rPr>
                <w:rFonts w:ascii="宋体" w:hAnsi="宋体"/>
                <w:color w:val="000000" w:themeColor="text1"/>
                <w:sz w:val="24"/>
                <w14:textFill>
                  <w14:solidFill>
                    <w14:schemeClr w14:val="tx1"/>
                  </w14:solidFill>
                </w14:textFill>
              </w:rPr>
              <w:t>以上</w:t>
            </w:r>
            <w:r>
              <w:rPr>
                <w:rFonts w:hint="eastAsia" w:ascii="宋体" w:hAnsi="宋体"/>
                <w:color w:val="000000" w:themeColor="text1"/>
                <w:sz w:val="24"/>
                <w14:textFill>
                  <w14:solidFill>
                    <w14:schemeClr w14:val="tx1"/>
                  </w14:solidFill>
                </w14:textFill>
              </w:rPr>
              <w:t>、1万元以下零星维修单个项目核减率超10％</w:t>
            </w:r>
            <w:r>
              <w:rPr>
                <w:rFonts w:ascii="宋体" w:hAnsi="宋体"/>
                <w:color w:val="000000" w:themeColor="text1"/>
                <w:sz w:val="24"/>
                <w14:textFill>
                  <w14:solidFill>
                    <w14:schemeClr w14:val="tx1"/>
                  </w14:solidFill>
                </w14:textFill>
              </w:rPr>
              <w:t>以上</w:t>
            </w:r>
            <w:r>
              <w:rPr>
                <w:rFonts w:hint="eastAsia" w:ascii="宋体" w:hAnsi="宋体"/>
                <w:color w:val="000000" w:themeColor="text1"/>
                <w:sz w:val="24"/>
                <w14:textFill>
                  <w14:solidFill>
                    <w14:schemeClr w14:val="tx1"/>
                  </w14:solidFill>
                </w14:textFill>
              </w:rPr>
              <w:t>，则不予结算</w:t>
            </w:r>
            <w:r>
              <w:rPr>
                <w:rFonts w:ascii="宋体" w:hAnsi="宋体"/>
                <w:color w:val="000000" w:themeColor="text1"/>
                <w:sz w:val="24"/>
                <w14:textFill>
                  <w14:solidFill>
                    <w14:schemeClr w14:val="tx1"/>
                  </w14:solidFill>
                </w14:textFill>
              </w:rPr>
              <w:t>单</w:t>
            </w:r>
            <w:r>
              <w:rPr>
                <w:rFonts w:hint="eastAsia" w:ascii="宋体" w:hAnsi="宋体"/>
                <w:color w:val="000000" w:themeColor="text1"/>
                <w:sz w:val="24"/>
                <w14:textFill>
                  <w14:solidFill>
                    <w14:schemeClr w14:val="tx1"/>
                  </w14:solidFill>
                </w14:textFill>
              </w:rPr>
              <w:t>个</w:t>
            </w:r>
            <w:r>
              <w:rPr>
                <w:rFonts w:ascii="宋体" w:hAnsi="宋体"/>
                <w:color w:val="000000" w:themeColor="text1"/>
                <w:sz w:val="24"/>
                <w14:textFill>
                  <w14:solidFill>
                    <w14:schemeClr w14:val="tx1"/>
                  </w14:solidFill>
                </w14:textFill>
              </w:rPr>
              <w:t>项</w:t>
            </w:r>
            <w:r>
              <w:rPr>
                <w:rFonts w:hint="eastAsia" w:ascii="宋体" w:hAnsi="宋体"/>
                <w:color w:val="000000" w:themeColor="text1"/>
                <w:sz w:val="24"/>
                <w14:textFill>
                  <w14:solidFill>
                    <w14:schemeClr w14:val="tx1"/>
                  </w14:solidFill>
                </w14:textFill>
              </w:rPr>
              <w:t>目</w:t>
            </w:r>
            <w:r>
              <w:rPr>
                <w:rFonts w:ascii="宋体" w:hAnsi="宋体"/>
                <w:color w:val="000000" w:themeColor="text1"/>
                <w:sz w:val="24"/>
                <w14:textFill>
                  <w14:solidFill>
                    <w14:schemeClr w14:val="tx1"/>
                  </w14:solidFill>
                </w14:textFill>
              </w:rPr>
              <w:t>审核费。</w:t>
            </w:r>
          </w:p>
        </w:tc>
      </w:tr>
      <w:tr w14:paraId="0015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888" w:type="dxa"/>
            <w:shd w:val="clear" w:color="auto" w:fill="auto"/>
            <w:vAlign w:val="center"/>
          </w:tcPr>
          <w:p w14:paraId="219E31E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服务费用</w:t>
            </w:r>
          </w:p>
          <w:p w14:paraId="725B3F2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计取方式</w:t>
            </w:r>
          </w:p>
        </w:tc>
        <w:tc>
          <w:tcPr>
            <w:tcW w:w="7173" w:type="dxa"/>
            <w:shd w:val="clear" w:color="auto" w:fill="auto"/>
            <w:vAlign w:val="center"/>
          </w:tcPr>
          <w:p w14:paraId="3740B9D7">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服务费用以项目为单位分别计取，总费用超过1.26万元以1.26万元计。</w:t>
            </w:r>
          </w:p>
        </w:tc>
      </w:tr>
      <w:tr w14:paraId="724E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88" w:type="dxa"/>
            <w:shd w:val="clear" w:color="auto" w:fill="auto"/>
            <w:vAlign w:val="center"/>
          </w:tcPr>
          <w:p w14:paraId="4748DE5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w:t>
            </w:r>
          </w:p>
        </w:tc>
        <w:tc>
          <w:tcPr>
            <w:tcW w:w="7173" w:type="dxa"/>
            <w:shd w:val="clear" w:color="auto" w:fill="auto"/>
            <w:vAlign w:val="center"/>
          </w:tcPr>
          <w:p w14:paraId="2ADA663A">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30元/项目</w:t>
            </w:r>
          </w:p>
        </w:tc>
      </w:tr>
      <w:tr w14:paraId="2CE7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88" w:type="dxa"/>
            <w:shd w:val="clear" w:color="auto" w:fill="auto"/>
            <w:vAlign w:val="center"/>
          </w:tcPr>
          <w:p w14:paraId="1E55613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p>
        </w:tc>
        <w:tc>
          <w:tcPr>
            <w:tcW w:w="7173" w:type="dxa"/>
            <w:shd w:val="clear" w:color="auto" w:fill="auto"/>
            <w:vAlign w:val="center"/>
          </w:tcPr>
          <w:p w14:paraId="4FB103BD">
            <w:pPr>
              <w:spacing w:line="440" w:lineRule="exact"/>
              <w:ind w:firstLine="1920" w:firstLineChars="8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元/项目。 （保留两位小数）</w:t>
            </w:r>
          </w:p>
        </w:tc>
      </w:tr>
      <w:tr w14:paraId="5BAE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888" w:type="dxa"/>
            <w:shd w:val="clear" w:color="auto" w:fill="auto"/>
            <w:vAlign w:val="center"/>
          </w:tcPr>
          <w:p w14:paraId="7ED1BCD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报价单位</w:t>
            </w:r>
          </w:p>
        </w:tc>
        <w:tc>
          <w:tcPr>
            <w:tcW w:w="7173" w:type="dxa"/>
            <w:shd w:val="clear" w:color="auto" w:fill="auto"/>
            <w:vAlign w:val="center"/>
          </w:tcPr>
          <w:p w14:paraId="51202C1C">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（加盖公章）</w:t>
            </w:r>
          </w:p>
          <w:p w14:paraId="234F0E6A">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联系人：            联系电话：              </w:t>
            </w:r>
          </w:p>
        </w:tc>
      </w:tr>
    </w:tbl>
    <w:p w14:paraId="1E294B10">
      <w:pPr>
        <w:rPr>
          <w:rFonts w:ascii="宋体" w:hAnsi="宋体" w:cs="宋体"/>
          <w:color w:val="000000" w:themeColor="text1"/>
          <w14:textFill>
            <w14:solidFill>
              <w14:schemeClr w14:val="tx1"/>
            </w14:solidFill>
          </w14:textFill>
        </w:rPr>
      </w:pPr>
    </w:p>
    <w:sectPr>
      <w:footerReference r:id="rId3" w:type="default"/>
      <w:pgSz w:w="11906" w:h="16838"/>
      <w:pgMar w:top="1134" w:right="1418" w:bottom="1134" w:left="1418"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42498"/>
    </w:sdtPr>
    <w:sdtContent>
      <w:p w14:paraId="45D7ED41">
        <w:pPr>
          <w:pStyle w:val="16"/>
          <w:jc w:val="center"/>
        </w:pPr>
        <w:r>
          <w:fldChar w:fldCharType="begin"/>
        </w:r>
        <w:r>
          <w:instrText xml:space="preserve">PAGE   \* MERGEFORMAT</w:instrText>
        </w:r>
        <w:r>
          <w:fldChar w:fldCharType="separate"/>
        </w:r>
        <w:r>
          <w:rPr>
            <w:lang w:val="zh-CN"/>
          </w:rPr>
          <w:t>8</w:t>
        </w:r>
        <w:r>
          <w:fldChar w:fldCharType="end"/>
        </w:r>
      </w:p>
    </w:sdtContent>
  </w:sdt>
  <w:p w14:paraId="0502CFCD">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Y2VhYzg4MzkyODE3NWQyNjliNjY4NTRlMjYxZWMifQ=="/>
  </w:docVars>
  <w:rsids>
    <w:rsidRoot w:val="00FB3397"/>
    <w:rsid w:val="0002317E"/>
    <w:rsid w:val="0002561E"/>
    <w:rsid w:val="00032D0D"/>
    <w:rsid w:val="0003591E"/>
    <w:rsid w:val="00046992"/>
    <w:rsid w:val="000C0876"/>
    <w:rsid w:val="000E7DA8"/>
    <w:rsid w:val="000F1158"/>
    <w:rsid w:val="000F3D92"/>
    <w:rsid w:val="00120E64"/>
    <w:rsid w:val="001366E0"/>
    <w:rsid w:val="00161773"/>
    <w:rsid w:val="00161D0C"/>
    <w:rsid w:val="00174A02"/>
    <w:rsid w:val="00181CAA"/>
    <w:rsid w:val="001C639E"/>
    <w:rsid w:val="001E50E6"/>
    <w:rsid w:val="001F11D6"/>
    <w:rsid w:val="001F53C9"/>
    <w:rsid w:val="0022341C"/>
    <w:rsid w:val="002247D4"/>
    <w:rsid w:val="002427C6"/>
    <w:rsid w:val="00250217"/>
    <w:rsid w:val="00276B58"/>
    <w:rsid w:val="002C7B51"/>
    <w:rsid w:val="00304E7B"/>
    <w:rsid w:val="003059B1"/>
    <w:rsid w:val="0032528C"/>
    <w:rsid w:val="00326655"/>
    <w:rsid w:val="00337F6A"/>
    <w:rsid w:val="0034130D"/>
    <w:rsid w:val="00345F53"/>
    <w:rsid w:val="00371BA0"/>
    <w:rsid w:val="00381040"/>
    <w:rsid w:val="003B1F42"/>
    <w:rsid w:val="003B6875"/>
    <w:rsid w:val="003C5F24"/>
    <w:rsid w:val="003E3096"/>
    <w:rsid w:val="003E5014"/>
    <w:rsid w:val="003E7D14"/>
    <w:rsid w:val="003F0515"/>
    <w:rsid w:val="003F7473"/>
    <w:rsid w:val="00411809"/>
    <w:rsid w:val="004228C8"/>
    <w:rsid w:val="00435077"/>
    <w:rsid w:val="00437ECF"/>
    <w:rsid w:val="004446BF"/>
    <w:rsid w:val="004567DD"/>
    <w:rsid w:val="00463A85"/>
    <w:rsid w:val="00463FAE"/>
    <w:rsid w:val="00473FCF"/>
    <w:rsid w:val="00476CDE"/>
    <w:rsid w:val="004A1BB0"/>
    <w:rsid w:val="004A5A16"/>
    <w:rsid w:val="004B7127"/>
    <w:rsid w:val="004F2D94"/>
    <w:rsid w:val="00515B71"/>
    <w:rsid w:val="005216AE"/>
    <w:rsid w:val="00531153"/>
    <w:rsid w:val="00542408"/>
    <w:rsid w:val="00553A0E"/>
    <w:rsid w:val="005674D2"/>
    <w:rsid w:val="00576AA4"/>
    <w:rsid w:val="00585FB0"/>
    <w:rsid w:val="005910D3"/>
    <w:rsid w:val="005A24C9"/>
    <w:rsid w:val="005B111B"/>
    <w:rsid w:val="005B1A95"/>
    <w:rsid w:val="005B57C5"/>
    <w:rsid w:val="005E77BB"/>
    <w:rsid w:val="00602E95"/>
    <w:rsid w:val="006140F3"/>
    <w:rsid w:val="00616582"/>
    <w:rsid w:val="00624A67"/>
    <w:rsid w:val="0063002D"/>
    <w:rsid w:val="006337CE"/>
    <w:rsid w:val="006413F9"/>
    <w:rsid w:val="00641E35"/>
    <w:rsid w:val="0065660B"/>
    <w:rsid w:val="006738F8"/>
    <w:rsid w:val="006803E8"/>
    <w:rsid w:val="0068277C"/>
    <w:rsid w:val="00690FB2"/>
    <w:rsid w:val="006A548B"/>
    <w:rsid w:val="006B1D5F"/>
    <w:rsid w:val="006B6919"/>
    <w:rsid w:val="006D1984"/>
    <w:rsid w:val="006D563F"/>
    <w:rsid w:val="006E406D"/>
    <w:rsid w:val="006E5BA3"/>
    <w:rsid w:val="00736B62"/>
    <w:rsid w:val="00761AE5"/>
    <w:rsid w:val="007B01FA"/>
    <w:rsid w:val="007B1B8B"/>
    <w:rsid w:val="007E4708"/>
    <w:rsid w:val="007E49DB"/>
    <w:rsid w:val="007E6D4F"/>
    <w:rsid w:val="00845EA8"/>
    <w:rsid w:val="0084675D"/>
    <w:rsid w:val="00860CF9"/>
    <w:rsid w:val="008706E1"/>
    <w:rsid w:val="00885122"/>
    <w:rsid w:val="00887203"/>
    <w:rsid w:val="00891B48"/>
    <w:rsid w:val="008A7468"/>
    <w:rsid w:val="008B0D6D"/>
    <w:rsid w:val="008B2B74"/>
    <w:rsid w:val="008B2C03"/>
    <w:rsid w:val="008B7DC7"/>
    <w:rsid w:val="008C19EF"/>
    <w:rsid w:val="008C4168"/>
    <w:rsid w:val="008C5EC4"/>
    <w:rsid w:val="008D1E50"/>
    <w:rsid w:val="008F28D5"/>
    <w:rsid w:val="00911BAB"/>
    <w:rsid w:val="00917379"/>
    <w:rsid w:val="009275BF"/>
    <w:rsid w:val="00933317"/>
    <w:rsid w:val="00933736"/>
    <w:rsid w:val="0093789F"/>
    <w:rsid w:val="00953DCB"/>
    <w:rsid w:val="00961A5C"/>
    <w:rsid w:val="00976446"/>
    <w:rsid w:val="00987C04"/>
    <w:rsid w:val="009A519D"/>
    <w:rsid w:val="009A5857"/>
    <w:rsid w:val="009A720D"/>
    <w:rsid w:val="009C6D39"/>
    <w:rsid w:val="009F1837"/>
    <w:rsid w:val="00A148F7"/>
    <w:rsid w:val="00A364B9"/>
    <w:rsid w:val="00A67692"/>
    <w:rsid w:val="00A70573"/>
    <w:rsid w:val="00A77762"/>
    <w:rsid w:val="00A82AC3"/>
    <w:rsid w:val="00A9479A"/>
    <w:rsid w:val="00A967E0"/>
    <w:rsid w:val="00AA3A8B"/>
    <w:rsid w:val="00AC4762"/>
    <w:rsid w:val="00AC7279"/>
    <w:rsid w:val="00AD089E"/>
    <w:rsid w:val="00AD34CE"/>
    <w:rsid w:val="00AE3C54"/>
    <w:rsid w:val="00B210BC"/>
    <w:rsid w:val="00B34C98"/>
    <w:rsid w:val="00B7762C"/>
    <w:rsid w:val="00B819C8"/>
    <w:rsid w:val="00B824D1"/>
    <w:rsid w:val="00BB6B29"/>
    <w:rsid w:val="00BC539C"/>
    <w:rsid w:val="00BF5845"/>
    <w:rsid w:val="00C12664"/>
    <w:rsid w:val="00C16723"/>
    <w:rsid w:val="00C41AEA"/>
    <w:rsid w:val="00C55957"/>
    <w:rsid w:val="00C64391"/>
    <w:rsid w:val="00C71040"/>
    <w:rsid w:val="00C86EFA"/>
    <w:rsid w:val="00CA2195"/>
    <w:rsid w:val="00CA5D68"/>
    <w:rsid w:val="00CF606C"/>
    <w:rsid w:val="00CF71D8"/>
    <w:rsid w:val="00D168F3"/>
    <w:rsid w:val="00D2066F"/>
    <w:rsid w:val="00D25E03"/>
    <w:rsid w:val="00D278E3"/>
    <w:rsid w:val="00D459F0"/>
    <w:rsid w:val="00D543BB"/>
    <w:rsid w:val="00D718F9"/>
    <w:rsid w:val="00D75600"/>
    <w:rsid w:val="00D839B6"/>
    <w:rsid w:val="00D84FFE"/>
    <w:rsid w:val="00D8708B"/>
    <w:rsid w:val="00D87C98"/>
    <w:rsid w:val="00DA2211"/>
    <w:rsid w:val="00DB696D"/>
    <w:rsid w:val="00E05A22"/>
    <w:rsid w:val="00E60178"/>
    <w:rsid w:val="00E81ABC"/>
    <w:rsid w:val="00EB5C32"/>
    <w:rsid w:val="00ED3225"/>
    <w:rsid w:val="00ED6950"/>
    <w:rsid w:val="00F078BF"/>
    <w:rsid w:val="00F36804"/>
    <w:rsid w:val="00F500DD"/>
    <w:rsid w:val="00F51C8A"/>
    <w:rsid w:val="00F64AA7"/>
    <w:rsid w:val="00F75DC0"/>
    <w:rsid w:val="00F83A75"/>
    <w:rsid w:val="00F90143"/>
    <w:rsid w:val="00FB3397"/>
    <w:rsid w:val="00FB62F5"/>
    <w:rsid w:val="00FD3D6B"/>
    <w:rsid w:val="00FD76CA"/>
    <w:rsid w:val="0119677B"/>
    <w:rsid w:val="01284C10"/>
    <w:rsid w:val="014A4B87"/>
    <w:rsid w:val="014C4DA3"/>
    <w:rsid w:val="014D28C9"/>
    <w:rsid w:val="015B3238"/>
    <w:rsid w:val="015F77EA"/>
    <w:rsid w:val="016D6AC7"/>
    <w:rsid w:val="017D4F5C"/>
    <w:rsid w:val="017D6F03"/>
    <w:rsid w:val="01840671"/>
    <w:rsid w:val="0187402D"/>
    <w:rsid w:val="01894555"/>
    <w:rsid w:val="018C77A9"/>
    <w:rsid w:val="01983A9D"/>
    <w:rsid w:val="019B3634"/>
    <w:rsid w:val="019B36B5"/>
    <w:rsid w:val="01B33B6B"/>
    <w:rsid w:val="01B45CF0"/>
    <w:rsid w:val="01B707A1"/>
    <w:rsid w:val="01BA777D"/>
    <w:rsid w:val="01C74CCF"/>
    <w:rsid w:val="01D628BE"/>
    <w:rsid w:val="01F44388"/>
    <w:rsid w:val="02391C3F"/>
    <w:rsid w:val="023A582E"/>
    <w:rsid w:val="023A75BE"/>
    <w:rsid w:val="024261A6"/>
    <w:rsid w:val="0260595B"/>
    <w:rsid w:val="02646A91"/>
    <w:rsid w:val="029139AF"/>
    <w:rsid w:val="02FD0EB0"/>
    <w:rsid w:val="03074F92"/>
    <w:rsid w:val="031418F0"/>
    <w:rsid w:val="032B6C3A"/>
    <w:rsid w:val="03326279"/>
    <w:rsid w:val="03541CED"/>
    <w:rsid w:val="035F0890"/>
    <w:rsid w:val="038E5F34"/>
    <w:rsid w:val="039208FE"/>
    <w:rsid w:val="03AE5735"/>
    <w:rsid w:val="03CC3F79"/>
    <w:rsid w:val="03E27089"/>
    <w:rsid w:val="03E85264"/>
    <w:rsid w:val="03EA052D"/>
    <w:rsid w:val="03F54977"/>
    <w:rsid w:val="04174180"/>
    <w:rsid w:val="04212517"/>
    <w:rsid w:val="04820ADC"/>
    <w:rsid w:val="04854128"/>
    <w:rsid w:val="048A6ADD"/>
    <w:rsid w:val="049E2C49"/>
    <w:rsid w:val="04A84F0F"/>
    <w:rsid w:val="04B43706"/>
    <w:rsid w:val="04B87362"/>
    <w:rsid w:val="04BA64C7"/>
    <w:rsid w:val="04CD4818"/>
    <w:rsid w:val="04D6410F"/>
    <w:rsid w:val="04F02B1E"/>
    <w:rsid w:val="04F049E7"/>
    <w:rsid w:val="055325D0"/>
    <w:rsid w:val="05542478"/>
    <w:rsid w:val="055511AF"/>
    <w:rsid w:val="055857A0"/>
    <w:rsid w:val="057E6D1E"/>
    <w:rsid w:val="05CE7E5C"/>
    <w:rsid w:val="05D172B9"/>
    <w:rsid w:val="05E55FD9"/>
    <w:rsid w:val="05FE2059"/>
    <w:rsid w:val="060759DA"/>
    <w:rsid w:val="060762D2"/>
    <w:rsid w:val="064F4AC9"/>
    <w:rsid w:val="06824FE9"/>
    <w:rsid w:val="06905257"/>
    <w:rsid w:val="06B069E4"/>
    <w:rsid w:val="06E272C3"/>
    <w:rsid w:val="06FB7C65"/>
    <w:rsid w:val="07133C6D"/>
    <w:rsid w:val="07152EBE"/>
    <w:rsid w:val="072B7208"/>
    <w:rsid w:val="07331BB8"/>
    <w:rsid w:val="0737795B"/>
    <w:rsid w:val="074644AF"/>
    <w:rsid w:val="07630C77"/>
    <w:rsid w:val="079F4A58"/>
    <w:rsid w:val="07B24165"/>
    <w:rsid w:val="07ED02AA"/>
    <w:rsid w:val="07F30E48"/>
    <w:rsid w:val="080A7015"/>
    <w:rsid w:val="08383559"/>
    <w:rsid w:val="083A12EC"/>
    <w:rsid w:val="085B0106"/>
    <w:rsid w:val="088E5CA1"/>
    <w:rsid w:val="08B266CC"/>
    <w:rsid w:val="08BA5C2E"/>
    <w:rsid w:val="08D26537"/>
    <w:rsid w:val="08DE0208"/>
    <w:rsid w:val="08E729AD"/>
    <w:rsid w:val="08F04266"/>
    <w:rsid w:val="090E357A"/>
    <w:rsid w:val="091763E9"/>
    <w:rsid w:val="091A5787"/>
    <w:rsid w:val="09414AC1"/>
    <w:rsid w:val="0946032A"/>
    <w:rsid w:val="094D790A"/>
    <w:rsid w:val="0963772F"/>
    <w:rsid w:val="096A45C1"/>
    <w:rsid w:val="09704E33"/>
    <w:rsid w:val="097E14B2"/>
    <w:rsid w:val="09A50B40"/>
    <w:rsid w:val="09B047C5"/>
    <w:rsid w:val="09B361CB"/>
    <w:rsid w:val="09CB4CD3"/>
    <w:rsid w:val="09DF42DA"/>
    <w:rsid w:val="0A344626"/>
    <w:rsid w:val="0A4C567C"/>
    <w:rsid w:val="0A530F50"/>
    <w:rsid w:val="0A602952"/>
    <w:rsid w:val="0A6A4AEA"/>
    <w:rsid w:val="0A6A54B8"/>
    <w:rsid w:val="0A7A7B20"/>
    <w:rsid w:val="0AA43DC8"/>
    <w:rsid w:val="0ABE1C2F"/>
    <w:rsid w:val="0AC37758"/>
    <w:rsid w:val="0AF61E5A"/>
    <w:rsid w:val="0B122EA5"/>
    <w:rsid w:val="0B247752"/>
    <w:rsid w:val="0B270480"/>
    <w:rsid w:val="0B301291"/>
    <w:rsid w:val="0B4D6077"/>
    <w:rsid w:val="0B8F12F0"/>
    <w:rsid w:val="0B907F82"/>
    <w:rsid w:val="0B941820"/>
    <w:rsid w:val="0BB8019E"/>
    <w:rsid w:val="0BBC0193"/>
    <w:rsid w:val="0BD465DB"/>
    <w:rsid w:val="0C1351B3"/>
    <w:rsid w:val="0C4843B9"/>
    <w:rsid w:val="0C6C5DF7"/>
    <w:rsid w:val="0CAE5B42"/>
    <w:rsid w:val="0CD30126"/>
    <w:rsid w:val="0CD901A6"/>
    <w:rsid w:val="0CE36334"/>
    <w:rsid w:val="0CF82F5F"/>
    <w:rsid w:val="0D1C36A8"/>
    <w:rsid w:val="0D2B0595"/>
    <w:rsid w:val="0D495912"/>
    <w:rsid w:val="0D4E23AE"/>
    <w:rsid w:val="0D5A0848"/>
    <w:rsid w:val="0D7A6830"/>
    <w:rsid w:val="0DAD1FE0"/>
    <w:rsid w:val="0DAF3E7C"/>
    <w:rsid w:val="0DB22432"/>
    <w:rsid w:val="0DD26630"/>
    <w:rsid w:val="0DF55615"/>
    <w:rsid w:val="0E1251C4"/>
    <w:rsid w:val="0E1E7035"/>
    <w:rsid w:val="0E262E9A"/>
    <w:rsid w:val="0E3966AF"/>
    <w:rsid w:val="0E540498"/>
    <w:rsid w:val="0E697416"/>
    <w:rsid w:val="0E844452"/>
    <w:rsid w:val="0EB83A78"/>
    <w:rsid w:val="0EBE4E06"/>
    <w:rsid w:val="0EEA668C"/>
    <w:rsid w:val="0EEC3721"/>
    <w:rsid w:val="0EFC1724"/>
    <w:rsid w:val="0F1306A2"/>
    <w:rsid w:val="0F2B0085"/>
    <w:rsid w:val="0F9A317D"/>
    <w:rsid w:val="0FAF4275"/>
    <w:rsid w:val="0FCD7DC6"/>
    <w:rsid w:val="0FCE04E6"/>
    <w:rsid w:val="0FD71A30"/>
    <w:rsid w:val="10076870"/>
    <w:rsid w:val="101822F4"/>
    <w:rsid w:val="105C44DD"/>
    <w:rsid w:val="10713BD4"/>
    <w:rsid w:val="107967D8"/>
    <w:rsid w:val="107E2BFA"/>
    <w:rsid w:val="108B6BC6"/>
    <w:rsid w:val="10BC6F11"/>
    <w:rsid w:val="10BE2B51"/>
    <w:rsid w:val="10DF2046"/>
    <w:rsid w:val="10EF2725"/>
    <w:rsid w:val="111D5873"/>
    <w:rsid w:val="114C5C80"/>
    <w:rsid w:val="11594F43"/>
    <w:rsid w:val="117946CA"/>
    <w:rsid w:val="117A5014"/>
    <w:rsid w:val="117C4633"/>
    <w:rsid w:val="118045F5"/>
    <w:rsid w:val="118A5945"/>
    <w:rsid w:val="119A5FEA"/>
    <w:rsid w:val="11C049F1"/>
    <w:rsid w:val="11C56CE4"/>
    <w:rsid w:val="11CA2405"/>
    <w:rsid w:val="11CC27B9"/>
    <w:rsid w:val="12004F06"/>
    <w:rsid w:val="120C376D"/>
    <w:rsid w:val="122037B2"/>
    <w:rsid w:val="123E3D02"/>
    <w:rsid w:val="12434E37"/>
    <w:rsid w:val="12521AED"/>
    <w:rsid w:val="12751C80"/>
    <w:rsid w:val="128A53A3"/>
    <w:rsid w:val="12B620EE"/>
    <w:rsid w:val="12C624DB"/>
    <w:rsid w:val="12CE777F"/>
    <w:rsid w:val="12F50C90"/>
    <w:rsid w:val="130274C5"/>
    <w:rsid w:val="138C102F"/>
    <w:rsid w:val="13B54A2A"/>
    <w:rsid w:val="13F84916"/>
    <w:rsid w:val="14005579"/>
    <w:rsid w:val="142E0338"/>
    <w:rsid w:val="14323CC9"/>
    <w:rsid w:val="1437543F"/>
    <w:rsid w:val="143B02AF"/>
    <w:rsid w:val="143C6447"/>
    <w:rsid w:val="1442760C"/>
    <w:rsid w:val="145A6C8A"/>
    <w:rsid w:val="14E06BAA"/>
    <w:rsid w:val="14ED0AA8"/>
    <w:rsid w:val="14F612E8"/>
    <w:rsid w:val="14FE041F"/>
    <w:rsid w:val="150F3BAF"/>
    <w:rsid w:val="15480720"/>
    <w:rsid w:val="154E31D0"/>
    <w:rsid w:val="155838BF"/>
    <w:rsid w:val="156E0F4D"/>
    <w:rsid w:val="15CD4CDE"/>
    <w:rsid w:val="1607010F"/>
    <w:rsid w:val="16294C93"/>
    <w:rsid w:val="162B2D81"/>
    <w:rsid w:val="16481B85"/>
    <w:rsid w:val="1655557F"/>
    <w:rsid w:val="166D339A"/>
    <w:rsid w:val="166E0EC0"/>
    <w:rsid w:val="16885EAC"/>
    <w:rsid w:val="16950CD1"/>
    <w:rsid w:val="16AF39B2"/>
    <w:rsid w:val="16E802DA"/>
    <w:rsid w:val="16F75359"/>
    <w:rsid w:val="16F90BD6"/>
    <w:rsid w:val="16FC5B80"/>
    <w:rsid w:val="1703785A"/>
    <w:rsid w:val="170F34D8"/>
    <w:rsid w:val="17167FED"/>
    <w:rsid w:val="17380975"/>
    <w:rsid w:val="173F1493"/>
    <w:rsid w:val="17404592"/>
    <w:rsid w:val="175E3EB2"/>
    <w:rsid w:val="178C5D4E"/>
    <w:rsid w:val="17A418A6"/>
    <w:rsid w:val="17B4366D"/>
    <w:rsid w:val="17DB4333"/>
    <w:rsid w:val="17FD641A"/>
    <w:rsid w:val="18067056"/>
    <w:rsid w:val="1811324F"/>
    <w:rsid w:val="18245CDA"/>
    <w:rsid w:val="185F31B6"/>
    <w:rsid w:val="189D40B7"/>
    <w:rsid w:val="18B5676A"/>
    <w:rsid w:val="18BC5F92"/>
    <w:rsid w:val="18E23874"/>
    <w:rsid w:val="18F90F15"/>
    <w:rsid w:val="190A1374"/>
    <w:rsid w:val="191113F4"/>
    <w:rsid w:val="19410B0E"/>
    <w:rsid w:val="195C3544"/>
    <w:rsid w:val="19C847EC"/>
    <w:rsid w:val="19DE06E4"/>
    <w:rsid w:val="1A6F2839"/>
    <w:rsid w:val="1A772A39"/>
    <w:rsid w:val="1AC35C7E"/>
    <w:rsid w:val="1AF71A24"/>
    <w:rsid w:val="1AFB19CE"/>
    <w:rsid w:val="1B50328A"/>
    <w:rsid w:val="1B7C7BDB"/>
    <w:rsid w:val="1B937DAE"/>
    <w:rsid w:val="1BBC447B"/>
    <w:rsid w:val="1BC16E1B"/>
    <w:rsid w:val="1BC577D4"/>
    <w:rsid w:val="1BCD48DA"/>
    <w:rsid w:val="1BD143CB"/>
    <w:rsid w:val="1BF6269F"/>
    <w:rsid w:val="1C112513"/>
    <w:rsid w:val="1C2931AF"/>
    <w:rsid w:val="1C53763A"/>
    <w:rsid w:val="1C705151"/>
    <w:rsid w:val="1C753D83"/>
    <w:rsid w:val="1C754931"/>
    <w:rsid w:val="1C776BF3"/>
    <w:rsid w:val="1C7B3E2F"/>
    <w:rsid w:val="1C804AF0"/>
    <w:rsid w:val="1C8C6C33"/>
    <w:rsid w:val="1CFD3205"/>
    <w:rsid w:val="1D0B5A5F"/>
    <w:rsid w:val="1D0E6F59"/>
    <w:rsid w:val="1D322C47"/>
    <w:rsid w:val="1D712EF2"/>
    <w:rsid w:val="1D7E40DE"/>
    <w:rsid w:val="1D9A1FF5"/>
    <w:rsid w:val="1D9A2D81"/>
    <w:rsid w:val="1DAD0520"/>
    <w:rsid w:val="1DAF4CFD"/>
    <w:rsid w:val="1DB775F0"/>
    <w:rsid w:val="1DE23222"/>
    <w:rsid w:val="1DF32B81"/>
    <w:rsid w:val="1DF95513"/>
    <w:rsid w:val="1E0F41C7"/>
    <w:rsid w:val="1E1C382E"/>
    <w:rsid w:val="1E2619CF"/>
    <w:rsid w:val="1E360515"/>
    <w:rsid w:val="1E3B1464"/>
    <w:rsid w:val="1E580DC1"/>
    <w:rsid w:val="1E594203"/>
    <w:rsid w:val="1E6F0024"/>
    <w:rsid w:val="1E71526C"/>
    <w:rsid w:val="1E93077E"/>
    <w:rsid w:val="1E9516DF"/>
    <w:rsid w:val="1EC10726"/>
    <w:rsid w:val="1ED55F80"/>
    <w:rsid w:val="1EDC730E"/>
    <w:rsid w:val="1EED4E21"/>
    <w:rsid w:val="1F027736"/>
    <w:rsid w:val="1F096B13"/>
    <w:rsid w:val="1F350237"/>
    <w:rsid w:val="1F38650F"/>
    <w:rsid w:val="1F78690B"/>
    <w:rsid w:val="1F955BEC"/>
    <w:rsid w:val="1F9E56AE"/>
    <w:rsid w:val="1FA24F80"/>
    <w:rsid w:val="1FA53BA4"/>
    <w:rsid w:val="1FB92520"/>
    <w:rsid w:val="1FE05963"/>
    <w:rsid w:val="1FF90C20"/>
    <w:rsid w:val="20232D1B"/>
    <w:rsid w:val="20337402"/>
    <w:rsid w:val="20365A65"/>
    <w:rsid w:val="2039253E"/>
    <w:rsid w:val="204561FB"/>
    <w:rsid w:val="204A0558"/>
    <w:rsid w:val="205C3F5C"/>
    <w:rsid w:val="20954CF6"/>
    <w:rsid w:val="20AA26B1"/>
    <w:rsid w:val="20D13FD0"/>
    <w:rsid w:val="20D3029D"/>
    <w:rsid w:val="20D504B9"/>
    <w:rsid w:val="20DB7E5B"/>
    <w:rsid w:val="2117449A"/>
    <w:rsid w:val="21250680"/>
    <w:rsid w:val="213276BA"/>
    <w:rsid w:val="21C35692"/>
    <w:rsid w:val="21DD0249"/>
    <w:rsid w:val="21EB7868"/>
    <w:rsid w:val="21FA2084"/>
    <w:rsid w:val="2209080D"/>
    <w:rsid w:val="22262529"/>
    <w:rsid w:val="224D22D1"/>
    <w:rsid w:val="225B49EE"/>
    <w:rsid w:val="226A1644"/>
    <w:rsid w:val="22BB548D"/>
    <w:rsid w:val="22C41308"/>
    <w:rsid w:val="22E75F90"/>
    <w:rsid w:val="22E90452"/>
    <w:rsid w:val="23155D16"/>
    <w:rsid w:val="23160915"/>
    <w:rsid w:val="23411E36"/>
    <w:rsid w:val="23681D14"/>
    <w:rsid w:val="23687F8E"/>
    <w:rsid w:val="23717FDC"/>
    <w:rsid w:val="23841D23"/>
    <w:rsid w:val="23AC0F6D"/>
    <w:rsid w:val="23D07F22"/>
    <w:rsid w:val="23DF21DE"/>
    <w:rsid w:val="23E10F23"/>
    <w:rsid w:val="23E80503"/>
    <w:rsid w:val="23FA0237"/>
    <w:rsid w:val="23FC7B0B"/>
    <w:rsid w:val="241661CD"/>
    <w:rsid w:val="24170DE9"/>
    <w:rsid w:val="24222705"/>
    <w:rsid w:val="245B4F69"/>
    <w:rsid w:val="247575E5"/>
    <w:rsid w:val="247B16FB"/>
    <w:rsid w:val="24930849"/>
    <w:rsid w:val="24A71757"/>
    <w:rsid w:val="24CD0058"/>
    <w:rsid w:val="24CD54F1"/>
    <w:rsid w:val="24D33F00"/>
    <w:rsid w:val="24D9185D"/>
    <w:rsid w:val="24DB5972"/>
    <w:rsid w:val="24E77109"/>
    <w:rsid w:val="251B0465"/>
    <w:rsid w:val="25331CE4"/>
    <w:rsid w:val="253A4D8F"/>
    <w:rsid w:val="25406DB0"/>
    <w:rsid w:val="25407ECB"/>
    <w:rsid w:val="255816B9"/>
    <w:rsid w:val="25897AC4"/>
    <w:rsid w:val="25A10C82"/>
    <w:rsid w:val="25AC203B"/>
    <w:rsid w:val="25B032A3"/>
    <w:rsid w:val="25E97260"/>
    <w:rsid w:val="25EB7E37"/>
    <w:rsid w:val="25ED0053"/>
    <w:rsid w:val="25F6042A"/>
    <w:rsid w:val="25FD1C98"/>
    <w:rsid w:val="25FD7B6A"/>
    <w:rsid w:val="265F531A"/>
    <w:rsid w:val="267A6A29"/>
    <w:rsid w:val="26981E89"/>
    <w:rsid w:val="269D7210"/>
    <w:rsid w:val="26A56238"/>
    <w:rsid w:val="26B7240F"/>
    <w:rsid w:val="26BD5C77"/>
    <w:rsid w:val="26C02787"/>
    <w:rsid w:val="26DC4CBA"/>
    <w:rsid w:val="26F947D6"/>
    <w:rsid w:val="2702368A"/>
    <w:rsid w:val="27383550"/>
    <w:rsid w:val="276C310A"/>
    <w:rsid w:val="27850809"/>
    <w:rsid w:val="279D5D88"/>
    <w:rsid w:val="27A24E6D"/>
    <w:rsid w:val="27B52109"/>
    <w:rsid w:val="27BA6BDA"/>
    <w:rsid w:val="27D2051F"/>
    <w:rsid w:val="27D73E13"/>
    <w:rsid w:val="27D96D6E"/>
    <w:rsid w:val="283C6F4D"/>
    <w:rsid w:val="283D091B"/>
    <w:rsid w:val="287A01BA"/>
    <w:rsid w:val="28B02C00"/>
    <w:rsid w:val="28BC0D33"/>
    <w:rsid w:val="28C262E8"/>
    <w:rsid w:val="28D42E04"/>
    <w:rsid w:val="291C3525"/>
    <w:rsid w:val="293A2AFD"/>
    <w:rsid w:val="29473769"/>
    <w:rsid w:val="294C43BE"/>
    <w:rsid w:val="295126A7"/>
    <w:rsid w:val="2955035E"/>
    <w:rsid w:val="297A17D5"/>
    <w:rsid w:val="297A3E3C"/>
    <w:rsid w:val="298A7967"/>
    <w:rsid w:val="29F97C59"/>
    <w:rsid w:val="2A047C80"/>
    <w:rsid w:val="2A105CB6"/>
    <w:rsid w:val="2A1212B6"/>
    <w:rsid w:val="2A335F90"/>
    <w:rsid w:val="2A4B2109"/>
    <w:rsid w:val="2A533306"/>
    <w:rsid w:val="2A662182"/>
    <w:rsid w:val="2A8A2314"/>
    <w:rsid w:val="2AA06627"/>
    <w:rsid w:val="2ABC1DA2"/>
    <w:rsid w:val="2AE17A5A"/>
    <w:rsid w:val="2AE35581"/>
    <w:rsid w:val="2AE80A69"/>
    <w:rsid w:val="2AF07C9E"/>
    <w:rsid w:val="2B125E66"/>
    <w:rsid w:val="2B1339FD"/>
    <w:rsid w:val="2B171920"/>
    <w:rsid w:val="2B27180F"/>
    <w:rsid w:val="2B633167"/>
    <w:rsid w:val="2B964CE9"/>
    <w:rsid w:val="2BA3713E"/>
    <w:rsid w:val="2BA62C74"/>
    <w:rsid w:val="2BB4516F"/>
    <w:rsid w:val="2BFF6C28"/>
    <w:rsid w:val="2C02412C"/>
    <w:rsid w:val="2C1A3224"/>
    <w:rsid w:val="2C3A6875"/>
    <w:rsid w:val="2C434A65"/>
    <w:rsid w:val="2C4B5AD3"/>
    <w:rsid w:val="2C65448F"/>
    <w:rsid w:val="2C657E08"/>
    <w:rsid w:val="2C7A45F2"/>
    <w:rsid w:val="2C7F1866"/>
    <w:rsid w:val="2CB00725"/>
    <w:rsid w:val="2CBD5E2F"/>
    <w:rsid w:val="2CC37098"/>
    <w:rsid w:val="2CCF22A3"/>
    <w:rsid w:val="2CE85F64"/>
    <w:rsid w:val="2D1001E0"/>
    <w:rsid w:val="2D424E33"/>
    <w:rsid w:val="2D5B3AF4"/>
    <w:rsid w:val="2D630BFB"/>
    <w:rsid w:val="2D7626DC"/>
    <w:rsid w:val="2D7A07FD"/>
    <w:rsid w:val="2D7B5F44"/>
    <w:rsid w:val="2D823554"/>
    <w:rsid w:val="2D834F14"/>
    <w:rsid w:val="2DA748DF"/>
    <w:rsid w:val="2DD231BE"/>
    <w:rsid w:val="2DD37C84"/>
    <w:rsid w:val="2E0A1285"/>
    <w:rsid w:val="2E132621"/>
    <w:rsid w:val="2E210099"/>
    <w:rsid w:val="2E3558C9"/>
    <w:rsid w:val="2E3A3B49"/>
    <w:rsid w:val="2E6D4AF8"/>
    <w:rsid w:val="2E7752AB"/>
    <w:rsid w:val="2E8B575D"/>
    <w:rsid w:val="2E8D2B5C"/>
    <w:rsid w:val="2ED029E8"/>
    <w:rsid w:val="2EF3627B"/>
    <w:rsid w:val="2F237A4F"/>
    <w:rsid w:val="2F3960B7"/>
    <w:rsid w:val="2F5A6521"/>
    <w:rsid w:val="2F854E58"/>
    <w:rsid w:val="2F8F3F29"/>
    <w:rsid w:val="2F923A19"/>
    <w:rsid w:val="2F9F0FD8"/>
    <w:rsid w:val="2FA23C5C"/>
    <w:rsid w:val="2FB90FA6"/>
    <w:rsid w:val="2FBF7AB2"/>
    <w:rsid w:val="2FCE234C"/>
    <w:rsid w:val="2FD86420"/>
    <w:rsid w:val="2FF24CC4"/>
    <w:rsid w:val="2FF635C9"/>
    <w:rsid w:val="2FF65D56"/>
    <w:rsid w:val="30004E27"/>
    <w:rsid w:val="302947BC"/>
    <w:rsid w:val="304410F4"/>
    <w:rsid w:val="3049057C"/>
    <w:rsid w:val="305871E1"/>
    <w:rsid w:val="30786829"/>
    <w:rsid w:val="308136EF"/>
    <w:rsid w:val="309D2676"/>
    <w:rsid w:val="30A752A2"/>
    <w:rsid w:val="30D231CE"/>
    <w:rsid w:val="30F2476F"/>
    <w:rsid w:val="310D39F6"/>
    <w:rsid w:val="31172E09"/>
    <w:rsid w:val="312848EF"/>
    <w:rsid w:val="313A338D"/>
    <w:rsid w:val="317E4255"/>
    <w:rsid w:val="31BF23A5"/>
    <w:rsid w:val="31CD2737"/>
    <w:rsid w:val="32123C73"/>
    <w:rsid w:val="323B2146"/>
    <w:rsid w:val="325C53B3"/>
    <w:rsid w:val="325D030E"/>
    <w:rsid w:val="32692EBE"/>
    <w:rsid w:val="32713DBA"/>
    <w:rsid w:val="32954C45"/>
    <w:rsid w:val="32A71CA5"/>
    <w:rsid w:val="32B211B8"/>
    <w:rsid w:val="32BD2B5B"/>
    <w:rsid w:val="32C71C2C"/>
    <w:rsid w:val="32CE3826"/>
    <w:rsid w:val="32F03E7E"/>
    <w:rsid w:val="33010C9A"/>
    <w:rsid w:val="33400EA3"/>
    <w:rsid w:val="334015A7"/>
    <w:rsid w:val="33550FE6"/>
    <w:rsid w:val="339A2E9C"/>
    <w:rsid w:val="339B55AD"/>
    <w:rsid w:val="33C02E6F"/>
    <w:rsid w:val="33C30645"/>
    <w:rsid w:val="33DE2D76"/>
    <w:rsid w:val="34184DEE"/>
    <w:rsid w:val="341D592E"/>
    <w:rsid w:val="34251C62"/>
    <w:rsid w:val="34384B8F"/>
    <w:rsid w:val="343B743F"/>
    <w:rsid w:val="345814CB"/>
    <w:rsid w:val="348A1163"/>
    <w:rsid w:val="34BA0C77"/>
    <w:rsid w:val="35056D4B"/>
    <w:rsid w:val="35091E7A"/>
    <w:rsid w:val="352F30A9"/>
    <w:rsid w:val="353410DE"/>
    <w:rsid w:val="355F7EFA"/>
    <w:rsid w:val="356B743B"/>
    <w:rsid w:val="358D4A67"/>
    <w:rsid w:val="35926521"/>
    <w:rsid w:val="359E4EC6"/>
    <w:rsid w:val="35D0243E"/>
    <w:rsid w:val="35EE3F27"/>
    <w:rsid w:val="35EE4412"/>
    <w:rsid w:val="36021E86"/>
    <w:rsid w:val="36170C96"/>
    <w:rsid w:val="361C56BC"/>
    <w:rsid w:val="361E5AAD"/>
    <w:rsid w:val="362C709D"/>
    <w:rsid w:val="362D2CF8"/>
    <w:rsid w:val="36321AB2"/>
    <w:rsid w:val="36374F0C"/>
    <w:rsid w:val="36542AF1"/>
    <w:rsid w:val="366F6862"/>
    <w:rsid w:val="36787BA3"/>
    <w:rsid w:val="368F0863"/>
    <w:rsid w:val="36BA2093"/>
    <w:rsid w:val="36D00C66"/>
    <w:rsid w:val="36DB7ABA"/>
    <w:rsid w:val="36DF440D"/>
    <w:rsid w:val="36E15F83"/>
    <w:rsid w:val="37024FE0"/>
    <w:rsid w:val="370B658B"/>
    <w:rsid w:val="373A3F3D"/>
    <w:rsid w:val="37437B99"/>
    <w:rsid w:val="37500442"/>
    <w:rsid w:val="37515050"/>
    <w:rsid w:val="37895A52"/>
    <w:rsid w:val="37906A90"/>
    <w:rsid w:val="379B5114"/>
    <w:rsid w:val="37D42CCA"/>
    <w:rsid w:val="37E935CE"/>
    <w:rsid w:val="38033706"/>
    <w:rsid w:val="380913FA"/>
    <w:rsid w:val="381D695D"/>
    <w:rsid w:val="38257CA3"/>
    <w:rsid w:val="3834566E"/>
    <w:rsid w:val="38607FA0"/>
    <w:rsid w:val="38CF2E98"/>
    <w:rsid w:val="38E62050"/>
    <w:rsid w:val="390F32B9"/>
    <w:rsid w:val="391D1216"/>
    <w:rsid w:val="391E061A"/>
    <w:rsid w:val="39445D84"/>
    <w:rsid w:val="39581830"/>
    <w:rsid w:val="3958538C"/>
    <w:rsid w:val="396E4FD3"/>
    <w:rsid w:val="397358E6"/>
    <w:rsid w:val="39781027"/>
    <w:rsid w:val="39A521CF"/>
    <w:rsid w:val="39AB528F"/>
    <w:rsid w:val="39CD79BF"/>
    <w:rsid w:val="39D17EF9"/>
    <w:rsid w:val="39D606FE"/>
    <w:rsid w:val="39D6433B"/>
    <w:rsid w:val="39D72754"/>
    <w:rsid w:val="39EC052A"/>
    <w:rsid w:val="3A0245F7"/>
    <w:rsid w:val="3A8268DF"/>
    <w:rsid w:val="3A9F4C93"/>
    <w:rsid w:val="3AC56A95"/>
    <w:rsid w:val="3AE0388B"/>
    <w:rsid w:val="3AE54FB3"/>
    <w:rsid w:val="3AE90B6B"/>
    <w:rsid w:val="3B111C96"/>
    <w:rsid w:val="3B192C87"/>
    <w:rsid w:val="3B4E0E3D"/>
    <w:rsid w:val="3B5C317B"/>
    <w:rsid w:val="3B5E3171"/>
    <w:rsid w:val="3B64626A"/>
    <w:rsid w:val="3B6A68E4"/>
    <w:rsid w:val="3B714E2B"/>
    <w:rsid w:val="3B7C2032"/>
    <w:rsid w:val="3BC35686"/>
    <w:rsid w:val="3BC4735F"/>
    <w:rsid w:val="3BE70B67"/>
    <w:rsid w:val="3BF97780"/>
    <w:rsid w:val="3C131A3E"/>
    <w:rsid w:val="3C191058"/>
    <w:rsid w:val="3C1C357D"/>
    <w:rsid w:val="3C204C87"/>
    <w:rsid w:val="3C2E3F98"/>
    <w:rsid w:val="3C391BAB"/>
    <w:rsid w:val="3C5B254F"/>
    <w:rsid w:val="3C706E90"/>
    <w:rsid w:val="3C7D2DE3"/>
    <w:rsid w:val="3C834E15"/>
    <w:rsid w:val="3C9E3F85"/>
    <w:rsid w:val="3CB6166C"/>
    <w:rsid w:val="3D1E1B78"/>
    <w:rsid w:val="3D532A3A"/>
    <w:rsid w:val="3D6E590F"/>
    <w:rsid w:val="3D9C284A"/>
    <w:rsid w:val="3DAB4624"/>
    <w:rsid w:val="3DBE6FB6"/>
    <w:rsid w:val="3DD27E02"/>
    <w:rsid w:val="3DEC631A"/>
    <w:rsid w:val="3DFB09DB"/>
    <w:rsid w:val="3DFD29A6"/>
    <w:rsid w:val="3E2072BE"/>
    <w:rsid w:val="3E412892"/>
    <w:rsid w:val="3E4203B8"/>
    <w:rsid w:val="3E443FB0"/>
    <w:rsid w:val="3E725142"/>
    <w:rsid w:val="3E9E5F37"/>
    <w:rsid w:val="3EB0488F"/>
    <w:rsid w:val="3EC62591"/>
    <w:rsid w:val="3ECF4342"/>
    <w:rsid w:val="3ED8360B"/>
    <w:rsid w:val="3F060465"/>
    <w:rsid w:val="3F0B2EA0"/>
    <w:rsid w:val="3F6824FD"/>
    <w:rsid w:val="3F813973"/>
    <w:rsid w:val="3F854A01"/>
    <w:rsid w:val="3F982986"/>
    <w:rsid w:val="3FAE21A9"/>
    <w:rsid w:val="3FAE3847"/>
    <w:rsid w:val="3FBD419A"/>
    <w:rsid w:val="3FC45171"/>
    <w:rsid w:val="3FE059F3"/>
    <w:rsid w:val="3FF83425"/>
    <w:rsid w:val="400A428E"/>
    <w:rsid w:val="405C275C"/>
    <w:rsid w:val="40806076"/>
    <w:rsid w:val="40881BCA"/>
    <w:rsid w:val="408C4527"/>
    <w:rsid w:val="40B216D8"/>
    <w:rsid w:val="40B91078"/>
    <w:rsid w:val="40C94DC1"/>
    <w:rsid w:val="40D043A1"/>
    <w:rsid w:val="40F75126"/>
    <w:rsid w:val="41076015"/>
    <w:rsid w:val="41167E5B"/>
    <w:rsid w:val="412A5B99"/>
    <w:rsid w:val="413606A8"/>
    <w:rsid w:val="41485313"/>
    <w:rsid w:val="41577B2D"/>
    <w:rsid w:val="41AF4CFE"/>
    <w:rsid w:val="41CA7DCA"/>
    <w:rsid w:val="41DC61E3"/>
    <w:rsid w:val="41E72A26"/>
    <w:rsid w:val="41FB148E"/>
    <w:rsid w:val="421F07AE"/>
    <w:rsid w:val="4220394C"/>
    <w:rsid w:val="42377F5C"/>
    <w:rsid w:val="4269636E"/>
    <w:rsid w:val="42762E6D"/>
    <w:rsid w:val="427A491F"/>
    <w:rsid w:val="42A20827"/>
    <w:rsid w:val="42A45AE6"/>
    <w:rsid w:val="42A56CE9"/>
    <w:rsid w:val="42A66FDE"/>
    <w:rsid w:val="42E80B0C"/>
    <w:rsid w:val="42F31A09"/>
    <w:rsid w:val="4301131C"/>
    <w:rsid w:val="430D248F"/>
    <w:rsid w:val="430D540A"/>
    <w:rsid w:val="431C1B20"/>
    <w:rsid w:val="437B2BA2"/>
    <w:rsid w:val="437C60FF"/>
    <w:rsid w:val="438A0837"/>
    <w:rsid w:val="438B6056"/>
    <w:rsid w:val="43A84FEA"/>
    <w:rsid w:val="43B65AD0"/>
    <w:rsid w:val="43EB0CFC"/>
    <w:rsid w:val="43FB3E13"/>
    <w:rsid w:val="43FD54AD"/>
    <w:rsid w:val="440641D5"/>
    <w:rsid w:val="440A5527"/>
    <w:rsid w:val="440E3B7B"/>
    <w:rsid w:val="44421112"/>
    <w:rsid w:val="446511F0"/>
    <w:rsid w:val="44903312"/>
    <w:rsid w:val="44913AA2"/>
    <w:rsid w:val="4496320C"/>
    <w:rsid w:val="44983FC9"/>
    <w:rsid w:val="44A84160"/>
    <w:rsid w:val="44B244EA"/>
    <w:rsid w:val="45074F31"/>
    <w:rsid w:val="450E7246"/>
    <w:rsid w:val="451714F6"/>
    <w:rsid w:val="451833C0"/>
    <w:rsid w:val="45246A6A"/>
    <w:rsid w:val="4552496F"/>
    <w:rsid w:val="455433F5"/>
    <w:rsid w:val="455F7AA2"/>
    <w:rsid w:val="45615BB4"/>
    <w:rsid w:val="456B18BA"/>
    <w:rsid w:val="457769C1"/>
    <w:rsid w:val="45C04BD4"/>
    <w:rsid w:val="45CA13BF"/>
    <w:rsid w:val="45DE4E6B"/>
    <w:rsid w:val="45E175A2"/>
    <w:rsid w:val="45F96148"/>
    <w:rsid w:val="46216F0F"/>
    <w:rsid w:val="464E3D9E"/>
    <w:rsid w:val="465670F7"/>
    <w:rsid w:val="46671449"/>
    <w:rsid w:val="466B0DF4"/>
    <w:rsid w:val="46773764"/>
    <w:rsid w:val="4682042B"/>
    <w:rsid w:val="468C48C7"/>
    <w:rsid w:val="46920850"/>
    <w:rsid w:val="46921A16"/>
    <w:rsid w:val="46A72582"/>
    <w:rsid w:val="46BD1CD6"/>
    <w:rsid w:val="46CE74E8"/>
    <w:rsid w:val="46EB2F41"/>
    <w:rsid w:val="46EE37D3"/>
    <w:rsid w:val="470E352E"/>
    <w:rsid w:val="473A7FF7"/>
    <w:rsid w:val="473F6BC6"/>
    <w:rsid w:val="47503B46"/>
    <w:rsid w:val="475C073D"/>
    <w:rsid w:val="47680E90"/>
    <w:rsid w:val="47700ADD"/>
    <w:rsid w:val="479B74B7"/>
    <w:rsid w:val="47A125F4"/>
    <w:rsid w:val="47B75973"/>
    <w:rsid w:val="47D14C87"/>
    <w:rsid w:val="47E32C0C"/>
    <w:rsid w:val="48013092"/>
    <w:rsid w:val="48030BB8"/>
    <w:rsid w:val="482148AE"/>
    <w:rsid w:val="48316C87"/>
    <w:rsid w:val="483D5416"/>
    <w:rsid w:val="484216E1"/>
    <w:rsid w:val="48A16A03"/>
    <w:rsid w:val="48F81366"/>
    <w:rsid w:val="48F90297"/>
    <w:rsid w:val="49033566"/>
    <w:rsid w:val="490D2C0A"/>
    <w:rsid w:val="49115557"/>
    <w:rsid w:val="491B42B2"/>
    <w:rsid w:val="491D6D6F"/>
    <w:rsid w:val="494429D1"/>
    <w:rsid w:val="49883A6B"/>
    <w:rsid w:val="49B76FFD"/>
    <w:rsid w:val="49C600F0"/>
    <w:rsid w:val="49CA35C1"/>
    <w:rsid w:val="49CF48D5"/>
    <w:rsid w:val="49D37AE3"/>
    <w:rsid w:val="49D9582C"/>
    <w:rsid w:val="49E71EDE"/>
    <w:rsid w:val="49EB5DA8"/>
    <w:rsid w:val="49F06150"/>
    <w:rsid w:val="4A083CD8"/>
    <w:rsid w:val="4A0B1FA6"/>
    <w:rsid w:val="4A0F72C6"/>
    <w:rsid w:val="4A121587"/>
    <w:rsid w:val="4A4B0FD4"/>
    <w:rsid w:val="4A4E265C"/>
    <w:rsid w:val="4A6434B7"/>
    <w:rsid w:val="4A717826"/>
    <w:rsid w:val="4A963F66"/>
    <w:rsid w:val="4A985F30"/>
    <w:rsid w:val="4AD8632C"/>
    <w:rsid w:val="4AEE5B50"/>
    <w:rsid w:val="4B112A31"/>
    <w:rsid w:val="4B1D63FD"/>
    <w:rsid w:val="4B1E117A"/>
    <w:rsid w:val="4B1F6698"/>
    <w:rsid w:val="4B375749"/>
    <w:rsid w:val="4B4D66E2"/>
    <w:rsid w:val="4B5D2CD5"/>
    <w:rsid w:val="4B753078"/>
    <w:rsid w:val="4BB50E07"/>
    <w:rsid w:val="4BC670B2"/>
    <w:rsid w:val="4BDA4326"/>
    <w:rsid w:val="4C3801D3"/>
    <w:rsid w:val="4C392C75"/>
    <w:rsid w:val="4C4179AC"/>
    <w:rsid w:val="4C467E4A"/>
    <w:rsid w:val="4C5E176C"/>
    <w:rsid w:val="4C622F9D"/>
    <w:rsid w:val="4C871742"/>
    <w:rsid w:val="4C87625C"/>
    <w:rsid w:val="4C8E5048"/>
    <w:rsid w:val="4CA0731E"/>
    <w:rsid w:val="4CB4058E"/>
    <w:rsid w:val="4CC0176E"/>
    <w:rsid w:val="4CDB2665"/>
    <w:rsid w:val="4CDB65A8"/>
    <w:rsid w:val="4CE54D31"/>
    <w:rsid w:val="4D04512A"/>
    <w:rsid w:val="4D2C41D3"/>
    <w:rsid w:val="4D4A3D01"/>
    <w:rsid w:val="4D564095"/>
    <w:rsid w:val="4D73368C"/>
    <w:rsid w:val="4D9F2614"/>
    <w:rsid w:val="4DA0211B"/>
    <w:rsid w:val="4DA6589D"/>
    <w:rsid w:val="4DC73F6C"/>
    <w:rsid w:val="4DEF498F"/>
    <w:rsid w:val="4DFE60AA"/>
    <w:rsid w:val="4E157783"/>
    <w:rsid w:val="4E221118"/>
    <w:rsid w:val="4E2B6BD4"/>
    <w:rsid w:val="4E3A6F16"/>
    <w:rsid w:val="4E480BC3"/>
    <w:rsid w:val="4E486FD7"/>
    <w:rsid w:val="4E93713A"/>
    <w:rsid w:val="4EB175C0"/>
    <w:rsid w:val="4EE01C53"/>
    <w:rsid w:val="4EF806C7"/>
    <w:rsid w:val="4EFB083B"/>
    <w:rsid w:val="4EFD4D67"/>
    <w:rsid w:val="4F4A3571"/>
    <w:rsid w:val="4F5A2544"/>
    <w:rsid w:val="4F642884"/>
    <w:rsid w:val="4F782666"/>
    <w:rsid w:val="4F7E41DA"/>
    <w:rsid w:val="4F9018BD"/>
    <w:rsid w:val="4F96176E"/>
    <w:rsid w:val="4FA7451F"/>
    <w:rsid w:val="4FB0689C"/>
    <w:rsid w:val="4FCD042A"/>
    <w:rsid w:val="4FE37BD8"/>
    <w:rsid w:val="4FE442AD"/>
    <w:rsid w:val="4FE86012"/>
    <w:rsid w:val="4FF736F9"/>
    <w:rsid w:val="4FFA5C82"/>
    <w:rsid w:val="502D0EC8"/>
    <w:rsid w:val="5039786D"/>
    <w:rsid w:val="503C735D"/>
    <w:rsid w:val="5046649E"/>
    <w:rsid w:val="504B75A0"/>
    <w:rsid w:val="506032E9"/>
    <w:rsid w:val="50791B89"/>
    <w:rsid w:val="508C78C1"/>
    <w:rsid w:val="509C6756"/>
    <w:rsid w:val="50AF5D81"/>
    <w:rsid w:val="50E32140"/>
    <w:rsid w:val="50F24B2B"/>
    <w:rsid w:val="50F51619"/>
    <w:rsid w:val="51042C0E"/>
    <w:rsid w:val="51082102"/>
    <w:rsid w:val="51104016"/>
    <w:rsid w:val="512F6EC2"/>
    <w:rsid w:val="51473A96"/>
    <w:rsid w:val="515145D5"/>
    <w:rsid w:val="5169123E"/>
    <w:rsid w:val="51895BC4"/>
    <w:rsid w:val="51CB5E3D"/>
    <w:rsid w:val="51CF622B"/>
    <w:rsid w:val="51E1640E"/>
    <w:rsid w:val="521A0616"/>
    <w:rsid w:val="521E02F9"/>
    <w:rsid w:val="52207085"/>
    <w:rsid w:val="522D28B0"/>
    <w:rsid w:val="527F652B"/>
    <w:rsid w:val="52A80CDA"/>
    <w:rsid w:val="52C35B14"/>
    <w:rsid w:val="53154E9B"/>
    <w:rsid w:val="532F4AE5"/>
    <w:rsid w:val="536A41E2"/>
    <w:rsid w:val="53746E0E"/>
    <w:rsid w:val="53B55872"/>
    <w:rsid w:val="53C26F1E"/>
    <w:rsid w:val="53CB1124"/>
    <w:rsid w:val="53DE50D8"/>
    <w:rsid w:val="53E80DC2"/>
    <w:rsid w:val="53FC376C"/>
    <w:rsid w:val="54071A30"/>
    <w:rsid w:val="541C1980"/>
    <w:rsid w:val="542A7CC6"/>
    <w:rsid w:val="544C5088"/>
    <w:rsid w:val="54750618"/>
    <w:rsid w:val="548E5CAE"/>
    <w:rsid w:val="549A28A4"/>
    <w:rsid w:val="54AB5A3B"/>
    <w:rsid w:val="54E56216"/>
    <w:rsid w:val="55061CE8"/>
    <w:rsid w:val="5523289A"/>
    <w:rsid w:val="55313868"/>
    <w:rsid w:val="553B7BE4"/>
    <w:rsid w:val="55420042"/>
    <w:rsid w:val="556D484A"/>
    <w:rsid w:val="556F1F83"/>
    <w:rsid w:val="556F788D"/>
    <w:rsid w:val="5570287C"/>
    <w:rsid w:val="558033AF"/>
    <w:rsid w:val="55857779"/>
    <w:rsid w:val="55A17753"/>
    <w:rsid w:val="55AF05D2"/>
    <w:rsid w:val="55DA3AE3"/>
    <w:rsid w:val="55F21F32"/>
    <w:rsid w:val="56006A20"/>
    <w:rsid w:val="561B17C3"/>
    <w:rsid w:val="562D1A16"/>
    <w:rsid w:val="56334F4E"/>
    <w:rsid w:val="568C4A20"/>
    <w:rsid w:val="569C6DA8"/>
    <w:rsid w:val="56A25F1A"/>
    <w:rsid w:val="56A3735C"/>
    <w:rsid w:val="56A62759"/>
    <w:rsid w:val="56B91708"/>
    <w:rsid w:val="56C25FE2"/>
    <w:rsid w:val="56C3571A"/>
    <w:rsid w:val="56DD40EF"/>
    <w:rsid w:val="56DE1351"/>
    <w:rsid w:val="56EC22B0"/>
    <w:rsid w:val="56FB3952"/>
    <w:rsid w:val="56FC78EF"/>
    <w:rsid w:val="5722447E"/>
    <w:rsid w:val="57472728"/>
    <w:rsid w:val="57560D05"/>
    <w:rsid w:val="5782264F"/>
    <w:rsid w:val="57853398"/>
    <w:rsid w:val="579E26AC"/>
    <w:rsid w:val="57CD5FFC"/>
    <w:rsid w:val="57D936E4"/>
    <w:rsid w:val="57DA52EB"/>
    <w:rsid w:val="57DF519E"/>
    <w:rsid w:val="57F707B9"/>
    <w:rsid w:val="58117BC5"/>
    <w:rsid w:val="58240664"/>
    <w:rsid w:val="582B5DF3"/>
    <w:rsid w:val="583934AE"/>
    <w:rsid w:val="584E5E80"/>
    <w:rsid w:val="58733B38"/>
    <w:rsid w:val="588B3D24"/>
    <w:rsid w:val="588B689A"/>
    <w:rsid w:val="589319C9"/>
    <w:rsid w:val="58AB2986"/>
    <w:rsid w:val="58B106A2"/>
    <w:rsid w:val="58D164E9"/>
    <w:rsid w:val="58DF3A45"/>
    <w:rsid w:val="58DF3C1A"/>
    <w:rsid w:val="591064EA"/>
    <w:rsid w:val="59134897"/>
    <w:rsid w:val="59275F76"/>
    <w:rsid w:val="593D1427"/>
    <w:rsid w:val="594B0611"/>
    <w:rsid w:val="59545718"/>
    <w:rsid w:val="59637797"/>
    <w:rsid w:val="59730EF9"/>
    <w:rsid w:val="599B50F5"/>
    <w:rsid w:val="59A75C04"/>
    <w:rsid w:val="59C717E9"/>
    <w:rsid w:val="5A037997"/>
    <w:rsid w:val="5A103441"/>
    <w:rsid w:val="5A21682B"/>
    <w:rsid w:val="5A2F1CE1"/>
    <w:rsid w:val="5A5359CF"/>
    <w:rsid w:val="5A7535F8"/>
    <w:rsid w:val="5A86434D"/>
    <w:rsid w:val="5A952068"/>
    <w:rsid w:val="5A960EE6"/>
    <w:rsid w:val="5AA1673B"/>
    <w:rsid w:val="5AAC2F2D"/>
    <w:rsid w:val="5ABE78FA"/>
    <w:rsid w:val="5AD328BE"/>
    <w:rsid w:val="5ADE0763"/>
    <w:rsid w:val="5AFF6436"/>
    <w:rsid w:val="5B086E97"/>
    <w:rsid w:val="5B27321E"/>
    <w:rsid w:val="5B2A5168"/>
    <w:rsid w:val="5B3D297B"/>
    <w:rsid w:val="5B4408B6"/>
    <w:rsid w:val="5B44356A"/>
    <w:rsid w:val="5B482A95"/>
    <w:rsid w:val="5B5A7C39"/>
    <w:rsid w:val="5B5C08B4"/>
    <w:rsid w:val="5B6A2FD1"/>
    <w:rsid w:val="5B7468B8"/>
    <w:rsid w:val="5B854ED1"/>
    <w:rsid w:val="5B865931"/>
    <w:rsid w:val="5B8878FB"/>
    <w:rsid w:val="5BA71684"/>
    <w:rsid w:val="5BAF66F6"/>
    <w:rsid w:val="5BC741C2"/>
    <w:rsid w:val="5BD4669C"/>
    <w:rsid w:val="5BD51DC2"/>
    <w:rsid w:val="5BDD4E6D"/>
    <w:rsid w:val="5BF9191D"/>
    <w:rsid w:val="5BFE57E1"/>
    <w:rsid w:val="5C074CC3"/>
    <w:rsid w:val="5C160D6E"/>
    <w:rsid w:val="5C1967A5"/>
    <w:rsid w:val="5C6914DA"/>
    <w:rsid w:val="5C7865A1"/>
    <w:rsid w:val="5C846314"/>
    <w:rsid w:val="5C91786A"/>
    <w:rsid w:val="5C9F314E"/>
    <w:rsid w:val="5CA34494"/>
    <w:rsid w:val="5CCD7D10"/>
    <w:rsid w:val="5CD64D27"/>
    <w:rsid w:val="5CD6619C"/>
    <w:rsid w:val="5CEB0141"/>
    <w:rsid w:val="5D137698"/>
    <w:rsid w:val="5D1C479E"/>
    <w:rsid w:val="5D446818"/>
    <w:rsid w:val="5D577585"/>
    <w:rsid w:val="5D770A0E"/>
    <w:rsid w:val="5D9003F8"/>
    <w:rsid w:val="5DB744C7"/>
    <w:rsid w:val="5DBE7604"/>
    <w:rsid w:val="5DD03D84"/>
    <w:rsid w:val="5DE80B25"/>
    <w:rsid w:val="5E1340D8"/>
    <w:rsid w:val="5E192A8C"/>
    <w:rsid w:val="5E1E00A2"/>
    <w:rsid w:val="5E4044BD"/>
    <w:rsid w:val="5E596CDA"/>
    <w:rsid w:val="5E5D6E1D"/>
    <w:rsid w:val="5E6463FD"/>
    <w:rsid w:val="5E6C3504"/>
    <w:rsid w:val="5E800D5D"/>
    <w:rsid w:val="5E8F0FD3"/>
    <w:rsid w:val="5E9B589D"/>
    <w:rsid w:val="5ED510A9"/>
    <w:rsid w:val="5F013C4C"/>
    <w:rsid w:val="5F060F41"/>
    <w:rsid w:val="5F125E59"/>
    <w:rsid w:val="5F14399E"/>
    <w:rsid w:val="5F17741E"/>
    <w:rsid w:val="5F351B48"/>
    <w:rsid w:val="5F4549DD"/>
    <w:rsid w:val="5FD42337"/>
    <w:rsid w:val="5FD50C35"/>
    <w:rsid w:val="5FDE5D3B"/>
    <w:rsid w:val="5FE243CB"/>
    <w:rsid w:val="5FE409D3"/>
    <w:rsid w:val="6007722E"/>
    <w:rsid w:val="600E0C1E"/>
    <w:rsid w:val="602347D0"/>
    <w:rsid w:val="60237BF2"/>
    <w:rsid w:val="602C2F4B"/>
    <w:rsid w:val="603453E6"/>
    <w:rsid w:val="60367925"/>
    <w:rsid w:val="604D27AF"/>
    <w:rsid w:val="60570674"/>
    <w:rsid w:val="605E2A79"/>
    <w:rsid w:val="60754ACB"/>
    <w:rsid w:val="609D0CBA"/>
    <w:rsid w:val="609D35A8"/>
    <w:rsid w:val="60BD0047"/>
    <w:rsid w:val="611825D4"/>
    <w:rsid w:val="61357BDD"/>
    <w:rsid w:val="61585D5E"/>
    <w:rsid w:val="615C3F83"/>
    <w:rsid w:val="61664059"/>
    <w:rsid w:val="61BB564B"/>
    <w:rsid w:val="61F75FB6"/>
    <w:rsid w:val="621717B6"/>
    <w:rsid w:val="6218756E"/>
    <w:rsid w:val="62293805"/>
    <w:rsid w:val="623A0A20"/>
    <w:rsid w:val="626C22DF"/>
    <w:rsid w:val="626D784A"/>
    <w:rsid w:val="62792AF3"/>
    <w:rsid w:val="62797F9D"/>
    <w:rsid w:val="628A2CAF"/>
    <w:rsid w:val="629770EF"/>
    <w:rsid w:val="629848C7"/>
    <w:rsid w:val="62B21383"/>
    <w:rsid w:val="62B2525D"/>
    <w:rsid w:val="62B66F24"/>
    <w:rsid w:val="62D003E9"/>
    <w:rsid w:val="62DC3553"/>
    <w:rsid w:val="62E20816"/>
    <w:rsid w:val="62ED58C4"/>
    <w:rsid w:val="62FA7330"/>
    <w:rsid w:val="632761ED"/>
    <w:rsid w:val="63414027"/>
    <w:rsid w:val="634F0D4B"/>
    <w:rsid w:val="635327D6"/>
    <w:rsid w:val="63543363"/>
    <w:rsid w:val="636203B7"/>
    <w:rsid w:val="639E415F"/>
    <w:rsid w:val="63AB24E0"/>
    <w:rsid w:val="63AB37FC"/>
    <w:rsid w:val="63B15515"/>
    <w:rsid w:val="63B64EB8"/>
    <w:rsid w:val="63B84AFB"/>
    <w:rsid w:val="63DE0680"/>
    <w:rsid w:val="63E53D7E"/>
    <w:rsid w:val="63E92F01"/>
    <w:rsid w:val="644545DB"/>
    <w:rsid w:val="644D4406"/>
    <w:rsid w:val="645C191D"/>
    <w:rsid w:val="645C7B76"/>
    <w:rsid w:val="6468354D"/>
    <w:rsid w:val="64737A45"/>
    <w:rsid w:val="648C220A"/>
    <w:rsid w:val="649224EE"/>
    <w:rsid w:val="649C7F73"/>
    <w:rsid w:val="649F0F1F"/>
    <w:rsid w:val="64B01877"/>
    <w:rsid w:val="64B13A1E"/>
    <w:rsid w:val="64B40872"/>
    <w:rsid w:val="64B91D59"/>
    <w:rsid w:val="64BE274C"/>
    <w:rsid w:val="64BE5EC8"/>
    <w:rsid w:val="64D911C7"/>
    <w:rsid w:val="64F157AF"/>
    <w:rsid w:val="650926D5"/>
    <w:rsid w:val="654F7238"/>
    <w:rsid w:val="659D6B7E"/>
    <w:rsid w:val="65BA530B"/>
    <w:rsid w:val="65D31204"/>
    <w:rsid w:val="65FA2050"/>
    <w:rsid w:val="661273A2"/>
    <w:rsid w:val="666F1757"/>
    <w:rsid w:val="66A33F84"/>
    <w:rsid w:val="66E143E2"/>
    <w:rsid w:val="66E73AB8"/>
    <w:rsid w:val="670479DA"/>
    <w:rsid w:val="670D793A"/>
    <w:rsid w:val="672F50CE"/>
    <w:rsid w:val="673340E6"/>
    <w:rsid w:val="678216A2"/>
    <w:rsid w:val="67DF4006"/>
    <w:rsid w:val="67DF6B55"/>
    <w:rsid w:val="67E0431B"/>
    <w:rsid w:val="67E20393"/>
    <w:rsid w:val="680337B9"/>
    <w:rsid w:val="6822317E"/>
    <w:rsid w:val="687A05CB"/>
    <w:rsid w:val="68813141"/>
    <w:rsid w:val="688C3A50"/>
    <w:rsid w:val="689478DF"/>
    <w:rsid w:val="68971E88"/>
    <w:rsid w:val="68A03424"/>
    <w:rsid w:val="69124CA8"/>
    <w:rsid w:val="69160C17"/>
    <w:rsid w:val="692844CB"/>
    <w:rsid w:val="6944191A"/>
    <w:rsid w:val="69771F9B"/>
    <w:rsid w:val="69A21257"/>
    <w:rsid w:val="69AA462B"/>
    <w:rsid w:val="69B7533F"/>
    <w:rsid w:val="69C9180A"/>
    <w:rsid w:val="69D22DF1"/>
    <w:rsid w:val="69EC374B"/>
    <w:rsid w:val="6A0768AB"/>
    <w:rsid w:val="6A311A89"/>
    <w:rsid w:val="6A3E5FE4"/>
    <w:rsid w:val="6A6F7F16"/>
    <w:rsid w:val="6A7355AE"/>
    <w:rsid w:val="6A8F2E23"/>
    <w:rsid w:val="6ACC6975"/>
    <w:rsid w:val="6AED4CE8"/>
    <w:rsid w:val="6B146AB5"/>
    <w:rsid w:val="6B1B2C2C"/>
    <w:rsid w:val="6B2175D4"/>
    <w:rsid w:val="6B572E46"/>
    <w:rsid w:val="6B6D72CB"/>
    <w:rsid w:val="6B756653"/>
    <w:rsid w:val="6B842CA2"/>
    <w:rsid w:val="6B95409A"/>
    <w:rsid w:val="6BAE62FA"/>
    <w:rsid w:val="6BAF1DFC"/>
    <w:rsid w:val="6BB14919"/>
    <w:rsid w:val="6BB60356"/>
    <w:rsid w:val="6BBE4942"/>
    <w:rsid w:val="6BC4672D"/>
    <w:rsid w:val="6BE66269"/>
    <w:rsid w:val="6C044D7B"/>
    <w:rsid w:val="6C2A4B84"/>
    <w:rsid w:val="6C5C05C5"/>
    <w:rsid w:val="6C5F1295"/>
    <w:rsid w:val="6C613F7C"/>
    <w:rsid w:val="6C9C4979"/>
    <w:rsid w:val="6CC55828"/>
    <w:rsid w:val="6CCD7863"/>
    <w:rsid w:val="6CD429A0"/>
    <w:rsid w:val="6CD504C6"/>
    <w:rsid w:val="6D000967"/>
    <w:rsid w:val="6D0B5B50"/>
    <w:rsid w:val="6D162EC0"/>
    <w:rsid w:val="6D2656B3"/>
    <w:rsid w:val="6D3D245C"/>
    <w:rsid w:val="6D6F30FB"/>
    <w:rsid w:val="6D9B170F"/>
    <w:rsid w:val="6DC241F2"/>
    <w:rsid w:val="6DD62CAD"/>
    <w:rsid w:val="6E0648D6"/>
    <w:rsid w:val="6E1312A6"/>
    <w:rsid w:val="6E3D6323"/>
    <w:rsid w:val="6E587601"/>
    <w:rsid w:val="6E7711FE"/>
    <w:rsid w:val="6E82322D"/>
    <w:rsid w:val="6E867CCA"/>
    <w:rsid w:val="6E8942C0"/>
    <w:rsid w:val="6EAF06BB"/>
    <w:rsid w:val="6EB0794E"/>
    <w:rsid w:val="6EDA0016"/>
    <w:rsid w:val="6EF47329"/>
    <w:rsid w:val="6EF530A1"/>
    <w:rsid w:val="6F0353B2"/>
    <w:rsid w:val="6F0A08FB"/>
    <w:rsid w:val="6F143527"/>
    <w:rsid w:val="6F3775EA"/>
    <w:rsid w:val="6F466B5E"/>
    <w:rsid w:val="6F7F3891"/>
    <w:rsid w:val="6F9E54E7"/>
    <w:rsid w:val="6FB16F7E"/>
    <w:rsid w:val="6FC30AAA"/>
    <w:rsid w:val="6FCD729E"/>
    <w:rsid w:val="6FD827A7"/>
    <w:rsid w:val="6FE54EC4"/>
    <w:rsid w:val="6FF93C86"/>
    <w:rsid w:val="6FFD220E"/>
    <w:rsid w:val="70087BD6"/>
    <w:rsid w:val="7020414E"/>
    <w:rsid w:val="70216FF6"/>
    <w:rsid w:val="704E0CBB"/>
    <w:rsid w:val="7052313B"/>
    <w:rsid w:val="70704095"/>
    <w:rsid w:val="70974410"/>
    <w:rsid w:val="709A02F9"/>
    <w:rsid w:val="709F5073"/>
    <w:rsid w:val="70D2369A"/>
    <w:rsid w:val="70E95927"/>
    <w:rsid w:val="70F22889"/>
    <w:rsid w:val="71453391"/>
    <w:rsid w:val="714621FB"/>
    <w:rsid w:val="71742789"/>
    <w:rsid w:val="717802FF"/>
    <w:rsid w:val="717A163C"/>
    <w:rsid w:val="71804EA4"/>
    <w:rsid w:val="718304F0"/>
    <w:rsid w:val="718C1A9B"/>
    <w:rsid w:val="71A150DF"/>
    <w:rsid w:val="71B66B18"/>
    <w:rsid w:val="71B91B16"/>
    <w:rsid w:val="71CF3736"/>
    <w:rsid w:val="71D13952"/>
    <w:rsid w:val="71D75430"/>
    <w:rsid w:val="71EB29C9"/>
    <w:rsid w:val="72066AE0"/>
    <w:rsid w:val="72233E49"/>
    <w:rsid w:val="72531906"/>
    <w:rsid w:val="72865E3F"/>
    <w:rsid w:val="728D092E"/>
    <w:rsid w:val="72930E12"/>
    <w:rsid w:val="729329B5"/>
    <w:rsid w:val="72A42E14"/>
    <w:rsid w:val="72AA5268"/>
    <w:rsid w:val="72AC1CC9"/>
    <w:rsid w:val="72B34E05"/>
    <w:rsid w:val="72BD5C84"/>
    <w:rsid w:val="72F56F5D"/>
    <w:rsid w:val="73000A35"/>
    <w:rsid w:val="73045BEB"/>
    <w:rsid w:val="731F693F"/>
    <w:rsid w:val="73326672"/>
    <w:rsid w:val="73463ECB"/>
    <w:rsid w:val="73593BFF"/>
    <w:rsid w:val="7365402E"/>
    <w:rsid w:val="737547B1"/>
    <w:rsid w:val="737E5FC4"/>
    <w:rsid w:val="73832A2A"/>
    <w:rsid w:val="73963427"/>
    <w:rsid w:val="73AE3CE1"/>
    <w:rsid w:val="73E426C5"/>
    <w:rsid w:val="73FB0DCA"/>
    <w:rsid w:val="740873D3"/>
    <w:rsid w:val="741A2D83"/>
    <w:rsid w:val="74242242"/>
    <w:rsid w:val="7426655C"/>
    <w:rsid w:val="74281823"/>
    <w:rsid w:val="742C1FE7"/>
    <w:rsid w:val="74624D35"/>
    <w:rsid w:val="746729C7"/>
    <w:rsid w:val="747C29C7"/>
    <w:rsid w:val="748F53FE"/>
    <w:rsid w:val="74AF5AA0"/>
    <w:rsid w:val="74B22A6E"/>
    <w:rsid w:val="74C36E06"/>
    <w:rsid w:val="74D06143"/>
    <w:rsid w:val="74DC779C"/>
    <w:rsid w:val="74F11BE7"/>
    <w:rsid w:val="74FE1557"/>
    <w:rsid w:val="752244C4"/>
    <w:rsid w:val="75390472"/>
    <w:rsid w:val="754C32EF"/>
    <w:rsid w:val="759068E8"/>
    <w:rsid w:val="75915B98"/>
    <w:rsid w:val="75B74C0D"/>
    <w:rsid w:val="75BD3A4C"/>
    <w:rsid w:val="75C425D7"/>
    <w:rsid w:val="75D44E39"/>
    <w:rsid w:val="75E564F0"/>
    <w:rsid w:val="75FE6CDF"/>
    <w:rsid w:val="76146371"/>
    <w:rsid w:val="76394456"/>
    <w:rsid w:val="76546C1C"/>
    <w:rsid w:val="767B2566"/>
    <w:rsid w:val="769C079C"/>
    <w:rsid w:val="76A26EB6"/>
    <w:rsid w:val="76A4251E"/>
    <w:rsid w:val="76B2392E"/>
    <w:rsid w:val="76B80C3C"/>
    <w:rsid w:val="76B8534A"/>
    <w:rsid w:val="76C73057"/>
    <w:rsid w:val="76F0487A"/>
    <w:rsid w:val="77000835"/>
    <w:rsid w:val="771D13E7"/>
    <w:rsid w:val="7750356B"/>
    <w:rsid w:val="77577BD6"/>
    <w:rsid w:val="77664B3C"/>
    <w:rsid w:val="7772277A"/>
    <w:rsid w:val="778D031B"/>
    <w:rsid w:val="77A02207"/>
    <w:rsid w:val="77AD6A08"/>
    <w:rsid w:val="781B43EB"/>
    <w:rsid w:val="78213E73"/>
    <w:rsid w:val="782151C7"/>
    <w:rsid w:val="78244E84"/>
    <w:rsid w:val="783C2E54"/>
    <w:rsid w:val="7859644F"/>
    <w:rsid w:val="787264CF"/>
    <w:rsid w:val="787C3EEC"/>
    <w:rsid w:val="787F20D4"/>
    <w:rsid w:val="7899274E"/>
    <w:rsid w:val="78A94498"/>
    <w:rsid w:val="78E14DC8"/>
    <w:rsid w:val="78F00CCA"/>
    <w:rsid w:val="791660EE"/>
    <w:rsid w:val="79336CA0"/>
    <w:rsid w:val="79420C91"/>
    <w:rsid w:val="797947FC"/>
    <w:rsid w:val="79822D26"/>
    <w:rsid w:val="79A60BD9"/>
    <w:rsid w:val="79EB1329"/>
    <w:rsid w:val="79EC7B98"/>
    <w:rsid w:val="79ED50A1"/>
    <w:rsid w:val="7A1014C9"/>
    <w:rsid w:val="7A183240"/>
    <w:rsid w:val="7A3E3B4E"/>
    <w:rsid w:val="7A474D0E"/>
    <w:rsid w:val="7A49178C"/>
    <w:rsid w:val="7A497B93"/>
    <w:rsid w:val="7A4C6CEC"/>
    <w:rsid w:val="7A5F60CD"/>
    <w:rsid w:val="7A6448FB"/>
    <w:rsid w:val="7A651D24"/>
    <w:rsid w:val="7A7C78B1"/>
    <w:rsid w:val="7AAA57FE"/>
    <w:rsid w:val="7AC027B5"/>
    <w:rsid w:val="7ADD2351"/>
    <w:rsid w:val="7AF61CE8"/>
    <w:rsid w:val="7B1E0016"/>
    <w:rsid w:val="7B38234C"/>
    <w:rsid w:val="7B5B428C"/>
    <w:rsid w:val="7B624F18"/>
    <w:rsid w:val="7B670E83"/>
    <w:rsid w:val="7B835E63"/>
    <w:rsid w:val="7BCF1EF7"/>
    <w:rsid w:val="7BD17DEE"/>
    <w:rsid w:val="7BDA78A7"/>
    <w:rsid w:val="7BE75B20"/>
    <w:rsid w:val="7BED17E9"/>
    <w:rsid w:val="7BFA22B1"/>
    <w:rsid w:val="7C0C0EE5"/>
    <w:rsid w:val="7C105077"/>
    <w:rsid w:val="7C190ABB"/>
    <w:rsid w:val="7C277A1D"/>
    <w:rsid w:val="7C385DF6"/>
    <w:rsid w:val="7CB400F8"/>
    <w:rsid w:val="7CC55609"/>
    <w:rsid w:val="7CDF2345"/>
    <w:rsid w:val="7D1156A2"/>
    <w:rsid w:val="7D676CA0"/>
    <w:rsid w:val="7D7B6E68"/>
    <w:rsid w:val="7D9F2B56"/>
    <w:rsid w:val="7DA47924"/>
    <w:rsid w:val="7DC600E3"/>
    <w:rsid w:val="7DFC3B04"/>
    <w:rsid w:val="7DFD59D5"/>
    <w:rsid w:val="7DFF69DE"/>
    <w:rsid w:val="7E0724A9"/>
    <w:rsid w:val="7E28310B"/>
    <w:rsid w:val="7E350DC4"/>
    <w:rsid w:val="7E3A7E47"/>
    <w:rsid w:val="7E481E63"/>
    <w:rsid w:val="7E613102"/>
    <w:rsid w:val="7E7538B7"/>
    <w:rsid w:val="7EA1645A"/>
    <w:rsid w:val="7EC4077C"/>
    <w:rsid w:val="7EC947F2"/>
    <w:rsid w:val="7ECA54BA"/>
    <w:rsid w:val="7F0B618C"/>
    <w:rsid w:val="7F103CEB"/>
    <w:rsid w:val="7F1E5CFC"/>
    <w:rsid w:val="7F2257ED"/>
    <w:rsid w:val="7F3D3E3C"/>
    <w:rsid w:val="7F550438"/>
    <w:rsid w:val="7F616785"/>
    <w:rsid w:val="7F6B4D37"/>
    <w:rsid w:val="7F6C7588"/>
    <w:rsid w:val="7F6F0306"/>
    <w:rsid w:val="7F8518D8"/>
    <w:rsid w:val="7F8F2756"/>
    <w:rsid w:val="7FA04E68"/>
    <w:rsid w:val="7FAB5F3D"/>
    <w:rsid w:val="7FB87EFF"/>
    <w:rsid w:val="7FD20693"/>
    <w:rsid w:val="7FDE2AF1"/>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szCs w:val="20"/>
    </w:rPr>
  </w:style>
  <w:style w:type="paragraph" w:styleId="6">
    <w:name w:val="heading 2"/>
    <w:basedOn w:val="1"/>
    <w:next w:val="7"/>
    <w:qFormat/>
    <w:uiPriority w:val="99"/>
    <w:pPr>
      <w:keepNext/>
      <w:keepLines/>
      <w:spacing w:before="260" w:after="260" w:line="416" w:lineRule="auto"/>
      <w:jc w:val="center"/>
      <w:outlineLvl w:val="1"/>
    </w:pPr>
    <w:rPr>
      <w:rFonts w:ascii="Arial" w:hAnsi="Arial" w:eastAsia="幼圆"/>
      <w:b/>
      <w:bCs/>
      <w:kern w:val="0"/>
      <w:sz w:val="44"/>
      <w:szCs w:val="44"/>
    </w:rPr>
  </w:style>
  <w:style w:type="paragraph" w:styleId="8">
    <w:name w:val="heading 3"/>
    <w:basedOn w:val="1"/>
    <w:next w:val="1"/>
    <w:qFormat/>
    <w:uiPriority w:val="99"/>
    <w:pPr>
      <w:keepNext/>
      <w:keepLines/>
      <w:spacing w:line="415" w:lineRule="auto"/>
      <w:ind w:firstLine="137" w:firstLineChars="49"/>
      <w:outlineLvl w:val="2"/>
    </w:pPr>
    <w:rPr>
      <w:rFonts w:hAnsi="黑体" w:eastAsia="黑体"/>
      <w:sz w:val="24"/>
      <w:szCs w:val="20"/>
    </w:rPr>
  </w:style>
  <w:style w:type="character" w:default="1" w:styleId="23">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80"/>
      </w:tabs>
      <w:spacing w:after="120" w:line="276" w:lineRule="auto"/>
      <w:ind w:left="420" w:leftChars="200" w:firstLine="420"/>
      <w:jc w:val="left"/>
    </w:pPr>
    <w:rPr>
      <w:rFonts w:ascii="Calibri" w:hAnsi="Calibri"/>
      <w:kern w:val="0"/>
      <w:sz w:val="22"/>
      <w:szCs w:val="22"/>
      <w:lang w:eastAsia="en-US"/>
    </w:rPr>
  </w:style>
  <w:style w:type="paragraph" w:styleId="3">
    <w:name w:val="Body Text Indent"/>
    <w:basedOn w:val="1"/>
    <w:next w:val="4"/>
    <w:qFormat/>
    <w:uiPriority w:val="0"/>
    <w:pPr>
      <w:tabs>
        <w:tab w:val="left" w:pos="180"/>
      </w:tabs>
      <w:ind w:firstLine="480" w:firstLineChars="200"/>
    </w:pPr>
    <w:rPr>
      <w:rFonts w:ascii="Tahoma" w:hAnsi="Tahoma"/>
      <w:sz w:val="24"/>
    </w:r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ind w:firstLine="420" w:firstLineChars="200"/>
    </w:pPr>
  </w:style>
  <w:style w:type="paragraph" w:styleId="9">
    <w:name w:val="annotation text"/>
    <w:basedOn w:val="1"/>
    <w:link w:val="37"/>
    <w:qFormat/>
    <w:uiPriority w:val="0"/>
    <w:pPr>
      <w:jc w:val="left"/>
    </w:pPr>
  </w:style>
  <w:style w:type="paragraph" w:styleId="10">
    <w:name w:val="Body Text"/>
    <w:basedOn w:val="1"/>
    <w:next w:val="11"/>
    <w:qFormat/>
    <w:uiPriority w:val="0"/>
    <w:pPr>
      <w:spacing w:after="120"/>
    </w:pPr>
  </w:style>
  <w:style w:type="paragraph" w:styleId="11">
    <w:name w:val="Body Text 2"/>
    <w:basedOn w:val="1"/>
    <w:qFormat/>
    <w:uiPriority w:val="99"/>
    <w:pPr>
      <w:widowControl/>
      <w:jc w:val="center"/>
    </w:pPr>
    <w:rPr>
      <w:rFonts w:ascii="楷体_GB2312" w:eastAsia="楷体_GB2312"/>
      <w:sz w:val="28"/>
      <w:szCs w:val="28"/>
    </w:rPr>
  </w:style>
  <w:style w:type="paragraph" w:styleId="12">
    <w:name w:val="Block Text"/>
    <w:basedOn w:val="1"/>
    <w:unhideWhenUsed/>
    <w:qFormat/>
    <w:uiPriority w:val="99"/>
    <w:pPr>
      <w:spacing w:after="120"/>
      <w:ind w:left="1440" w:leftChars="700" w:right="700" w:rightChars="700"/>
    </w:pPr>
    <w:rPr>
      <w:rFonts w:hint="eastAsia"/>
      <w:szCs w:val="21"/>
    </w:rPr>
  </w:style>
  <w:style w:type="paragraph" w:styleId="13">
    <w:name w:val="Plain Text"/>
    <w:basedOn w:val="1"/>
    <w:qFormat/>
    <w:uiPriority w:val="0"/>
    <w:rPr>
      <w:rFonts w:ascii="宋体" w:hAnsi="Courier New"/>
      <w:szCs w:val="21"/>
    </w:rPr>
  </w:style>
  <w:style w:type="paragraph" w:styleId="14">
    <w:name w:val="Body Text Indent 2"/>
    <w:basedOn w:val="1"/>
    <w:qFormat/>
    <w:uiPriority w:val="0"/>
    <w:pPr>
      <w:spacing w:line="420" w:lineRule="exact"/>
      <w:ind w:firstLine="525"/>
    </w:pPr>
    <w:rPr>
      <w:rFonts w:ascii="宋体"/>
      <w:szCs w:val="20"/>
    </w:rPr>
  </w:style>
  <w:style w:type="paragraph" w:styleId="15">
    <w:name w:val="Balloon Text"/>
    <w:basedOn w:val="1"/>
    <w:link w:val="32"/>
    <w:qFormat/>
    <w:uiPriority w:val="0"/>
    <w:rPr>
      <w:sz w:val="18"/>
      <w:szCs w:val="18"/>
    </w:rPr>
  </w:style>
  <w:style w:type="paragraph" w:styleId="16">
    <w:name w:val="footer"/>
    <w:basedOn w:val="1"/>
    <w:link w:val="30"/>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List"/>
    <w:basedOn w:val="1"/>
    <w:qFormat/>
    <w:uiPriority w:val="0"/>
    <w:pPr>
      <w:autoSpaceDE w:val="0"/>
      <w:autoSpaceDN w:val="0"/>
      <w:adjustRightInd w:val="0"/>
      <w:spacing w:line="360" w:lineRule="auto"/>
      <w:ind w:left="360" w:hanging="360" w:firstLineChars="200"/>
      <w:jc w:val="left"/>
      <w:textAlignment w:val="baseline"/>
    </w:pPr>
    <w:rPr>
      <w:kern w:val="0"/>
      <w:sz w:val="20"/>
      <w:szCs w:val="20"/>
      <w:lang w:val="en-GB"/>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qFormat/>
    <w:uiPriority w:val="0"/>
    <w:pPr>
      <w:jc w:val="left"/>
    </w:pPr>
    <w:rPr>
      <w:kern w:val="0"/>
      <w:sz w:val="24"/>
    </w:rPr>
  </w:style>
  <w:style w:type="paragraph" w:styleId="21">
    <w:name w:val="Body Text First Indent"/>
    <w:basedOn w:val="10"/>
    <w:next w:val="1"/>
    <w:link w:val="36"/>
    <w:qFormat/>
    <w:uiPriority w:val="0"/>
    <w:pPr>
      <w:ind w:firstLine="560"/>
    </w:pPr>
  </w:style>
  <w:style w:type="character" w:styleId="24">
    <w:name w:val="Strong"/>
    <w:basedOn w:val="23"/>
    <w:qFormat/>
    <w:uiPriority w:val="0"/>
    <w:rPr>
      <w:b/>
    </w:rPr>
  </w:style>
  <w:style w:type="character" w:styleId="25">
    <w:name w:val="page number"/>
    <w:basedOn w:val="23"/>
    <w:qFormat/>
    <w:uiPriority w:val="0"/>
  </w:style>
  <w:style w:type="character" w:styleId="26">
    <w:name w:val="Emphasis"/>
    <w:qFormat/>
    <w:uiPriority w:val="0"/>
    <w:rPr>
      <w:rFonts w:eastAsia="宋体" w:cs="Times New Roman"/>
      <w:sz w:val="21"/>
    </w:rPr>
  </w:style>
  <w:style w:type="character" w:styleId="27">
    <w:name w:val="annotation reference"/>
    <w:qFormat/>
    <w:uiPriority w:val="0"/>
    <w:rPr>
      <w:sz w:val="21"/>
      <w:szCs w:val="21"/>
    </w:rPr>
  </w:style>
  <w:style w:type="paragraph" w:customStyle="1" w:styleId="2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29">
    <w:name w:val="List Paragraph"/>
    <w:basedOn w:val="1"/>
    <w:qFormat/>
    <w:uiPriority w:val="99"/>
    <w:pPr>
      <w:ind w:firstLine="420" w:firstLineChars="200"/>
    </w:pPr>
  </w:style>
  <w:style w:type="character" w:customStyle="1" w:styleId="30">
    <w:name w:val="页脚 Char"/>
    <w:basedOn w:val="23"/>
    <w:link w:val="16"/>
    <w:qFormat/>
    <w:uiPriority w:val="99"/>
    <w:rPr>
      <w:kern w:val="2"/>
      <w:sz w:val="18"/>
      <w:szCs w:val="24"/>
    </w:rPr>
  </w:style>
  <w:style w:type="character" w:customStyle="1" w:styleId="31">
    <w:name w:val="font41"/>
    <w:basedOn w:val="23"/>
    <w:qFormat/>
    <w:uiPriority w:val="0"/>
    <w:rPr>
      <w:rFonts w:hint="eastAsia" w:ascii="宋体" w:hAnsi="宋体" w:eastAsia="宋体" w:cs="宋体"/>
      <w:color w:val="000000"/>
      <w:sz w:val="22"/>
      <w:szCs w:val="22"/>
      <w:u w:val="none"/>
    </w:rPr>
  </w:style>
  <w:style w:type="character" w:customStyle="1" w:styleId="32">
    <w:name w:val="批注框文本 Char"/>
    <w:basedOn w:val="23"/>
    <w:link w:val="15"/>
    <w:qFormat/>
    <w:uiPriority w:val="0"/>
    <w:rPr>
      <w:kern w:val="2"/>
      <w:sz w:val="18"/>
      <w:szCs w:val="18"/>
    </w:rPr>
  </w:style>
  <w:style w:type="paragraph" w:customStyle="1" w:styleId="33">
    <w:name w:val="p0"/>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34">
    <w:name w:val="首行缩进"/>
    <w:basedOn w:val="1"/>
    <w:qFormat/>
    <w:uiPriority w:val="0"/>
    <w:pPr>
      <w:spacing w:line="360" w:lineRule="auto"/>
      <w:ind w:firstLine="480" w:firstLineChars="200"/>
    </w:pPr>
    <w:rPr>
      <w:rFonts w:ascii="宋体" w:hAnsi="宋体" w:cs="宋体"/>
      <w:kern w:val="0"/>
      <w:sz w:val="24"/>
    </w:rPr>
  </w:style>
  <w:style w:type="paragraph" w:customStyle="1" w:styleId="35">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character" w:customStyle="1" w:styleId="36">
    <w:name w:val="正文首行缩进 Char"/>
    <w:basedOn w:val="23"/>
    <w:link w:val="21"/>
    <w:qFormat/>
    <w:uiPriority w:val="0"/>
    <w:rPr>
      <w:kern w:val="2"/>
      <w:sz w:val="21"/>
      <w:szCs w:val="24"/>
    </w:rPr>
  </w:style>
  <w:style w:type="character" w:customStyle="1" w:styleId="37">
    <w:name w:val="批注文字 Char"/>
    <w:basedOn w:val="23"/>
    <w:link w:val="9"/>
    <w:qFormat/>
    <w:uiPriority w:val="0"/>
    <w:rPr>
      <w:kern w:val="2"/>
      <w:sz w:val="21"/>
      <w:szCs w:val="24"/>
    </w:rPr>
  </w:style>
  <w:style w:type="paragraph" w:customStyle="1" w:styleId="38">
    <w:name w:val="目录 83"/>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6902</Words>
  <Characters>7037</Characters>
  <Lines>59</Lines>
  <Paragraphs>16</Paragraphs>
  <TotalTime>10</TotalTime>
  <ScaleCrop>false</ScaleCrop>
  <LinksUpToDate>false</LinksUpToDate>
  <CharactersWithSpaces>7813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2026-03-09T01:50:00Z</dcterms:created>
  <dc:creator>Administrator</dc:creator>
  <cp:lastModifiedBy>影子</cp:lastModifiedBy>
  <cp:lastPrinted>2023-07-14T07:19:00Z</cp:lastPrinted>
  <dcterms:modified xsi:type="dcterms:W3CDTF">2026-05-09T01:10:30Z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49F89C39D41D4838A4ABC47DC82360C9_13</vt:lpwstr>
  </property>
  <property fmtid="{D5CDD505-2E9C-101B-9397-08002B2CF9AE}" pid="4" name="KSOTemplateDocerSaveRecord">
    <vt:lpwstr>eyJoZGlkIjoiOTc5MDdmY2I0ZmFiNmE5MTRiMjE3ZmE5ZjlmN2E3YzEiLCJ1c2VySWQiOiIzNDAwNTMyOTEifQ==</vt:lpwstr>
  </property>
</Properties>
</file>