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YSHQ2024-ZB-0107</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盐城师范学院2024年春学期食堂大宗食材</w:t>
      </w:r>
    </w:p>
    <w:p>
      <w:pPr>
        <w:spacing w:line="700" w:lineRule="exact"/>
        <w:ind w:firstLine="2891" w:firstLineChars="800"/>
        <w:rPr>
          <w:rFonts w:ascii="宋体" w:hAnsi="宋体" w:cs="宋体"/>
          <w:b/>
          <w:bCs/>
          <w:sz w:val="32"/>
          <w:szCs w:val="32"/>
        </w:rPr>
      </w:pPr>
      <w:r>
        <w:rPr>
          <w:rFonts w:hint="eastAsia" w:ascii="宋体" w:hAnsi="宋体" w:cs="宋体"/>
          <w:b/>
          <w:bCs/>
          <w:sz w:val="36"/>
          <w:szCs w:val="36"/>
        </w:rPr>
        <w:t>（冻禽产品）采购项目</w:t>
      </w: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hint="eastAsia" w:ascii="宋体" w:hAnsi="宋体" w:cs="黑体"/>
          <w:b/>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28</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盐城师范学院2024年春学期食堂大宗食材（冻禽产品）采购项目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YSHQ2024-ZB-0107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盐城师范学院2024年春学期食堂大宗食材（冻禽产品）采购项目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w:t>
      </w:r>
      <w:r>
        <w:rPr>
          <w:rFonts w:hint="eastAsia" w:ascii="宋体" w:hAnsi="宋体" w:cs="宋体"/>
          <w:kern w:val="0"/>
          <w:sz w:val="24"/>
          <w:szCs w:val="24"/>
          <w:u w:val="single"/>
        </w:rPr>
        <w:t>；盐城师范学院新长校区后勤综合楼二楼会议室。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2024年1月30日上午9：00</w:t>
      </w:r>
      <w:r>
        <w:rPr>
          <w:rFonts w:hint="eastAsia" w:ascii="宋体" w:hAnsi="宋体" w:cs="宋体"/>
          <w:kern w:val="0"/>
          <w:sz w:val="24"/>
          <w:szCs w:val="24"/>
          <w:u w:val="single"/>
        </w:rPr>
        <w:t>；盐城师范学院新长校区后勤综合楼三楼招标会议室。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bookmarkStart w:id="41" w:name="_GoBack"/>
      <w:bookmarkEnd w:id="41"/>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627"/>
      <w:bookmarkStart w:id="2" w:name="_Toc35393796"/>
      <w:bookmarkStart w:id="3" w:name="_Toc28359008"/>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327"/>
      <w:bookmarkStart w:id="30" w:name="_Toc47629959"/>
      <w:bookmarkStart w:id="31" w:name="_Toc155527169"/>
      <w:r>
        <w:rPr>
          <w:rFonts w:hint="eastAsia" w:ascii="宋体" w:hAnsi="宋体"/>
          <w:b/>
          <w:color w:val="000000"/>
          <w:sz w:val="44"/>
          <w:szCs w:val="44"/>
        </w:rPr>
        <w:t>第三章  合同条款及格式</w:t>
      </w:r>
      <w:bookmarkEnd w:id="29"/>
      <w:bookmarkEnd w:id="30"/>
      <w:bookmarkEnd w:id="31"/>
    </w:p>
    <w:p>
      <w:pPr>
        <w:spacing w:after="100" w:afterAutospacing="1" w:line="52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甲乙双方根据盐城师范学院2024年春学期食堂大宗食材（冻禽产品）采购项目公开招标的结果，签署本合同。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一、货物名称：冻禽产品</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1.乙方应严格遵守《中华人民共和国食品安全法》及其他法律法规的有关规定，确保所供冻禽产品质量符合国家相关产品质量标准</w:t>
      </w:r>
      <w:r>
        <w:fldChar w:fldCharType="begin"/>
      </w:r>
      <w:r>
        <w:instrText xml:space="preserve"> HYPERLINK "http://down.foodmate.net/standard/sort/3/50399.html" \t "http://down.foodmate.net/standard/sort/3/_blank" </w:instrText>
      </w:r>
      <w:r>
        <w:fldChar w:fldCharType="separate"/>
      </w:r>
      <w:r>
        <w:rPr>
          <w:rFonts w:hint="eastAsia" w:ascii="宋体" w:hAnsi="宋体"/>
          <w:color w:val="000000"/>
          <w:sz w:val="24"/>
          <w:szCs w:val="24"/>
        </w:rPr>
        <w:t>GB 2707-2016</w:t>
      </w:r>
      <w:r>
        <w:rPr>
          <w:rFonts w:hint="eastAsia" w:ascii="宋体" w:hAnsi="宋体"/>
          <w:color w:val="000000"/>
          <w:sz w:val="24"/>
          <w:szCs w:val="24"/>
        </w:rPr>
        <w:fldChar w:fldCharType="end"/>
      </w:r>
      <w:r>
        <w:rPr>
          <w:rFonts w:hint="eastAsia" w:ascii="宋体" w:hAnsi="宋体" w:cs="宋体"/>
          <w:sz w:val="24"/>
          <w:szCs w:val="24"/>
        </w:rPr>
        <w:t>，符合国家各级强制性规范的要求。</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sz w:val="24"/>
          <w:szCs w:val="24"/>
        </w:rPr>
        <w:t xml:space="preserve"> </w:t>
      </w:r>
      <w:r>
        <w:rPr>
          <w:rFonts w:hint="eastAsia" w:ascii="宋体" w:hAnsi="宋体" w:cs="宋体"/>
          <w:sz w:val="24"/>
          <w:szCs w:val="24"/>
        </w:rPr>
        <w:t>乙方必须按国家有关规定就所供原料向甲方提供以下索证资料：</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 （1）相同批次产品的检验合格证或者化验单。</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 （2）货物的《质量检验报告》，提供产品在半年内由国家质量检测机构出具的“质量检验报告”，自检报告无效。</w:t>
      </w:r>
    </w:p>
    <w:p>
      <w:pPr>
        <w:spacing w:line="480" w:lineRule="exact"/>
        <w:ind w:firstLine="480" w:firstLineChars="200"/>
        <w:rPr>
          <w:rFonts w:ascii="宋体" w:hAnsi="宋体" w:cs="宋体"/>
          <w:sz w:val="24"/>
          <w:szCs w:val="24"/>
        </w:rPr>
      </w:pPr>
      <w:r>
        <w:rPr>
          <w:rFonts w:hint="eastAsia" w:ascii="宋体" w:hAnsi="宋体" w:cs="宋体"/>
          <w:sz w:val="24"/>
          <w:szCs w:val="24"/>
        </w:rPr>
        <w:t>4.产品包装上必须提供品牌、生产商、产地、SC标识，包装上必须有明确的生产日期、保质期。</w:t>
      </w:r>
    </w:p>
    <w:p>
      <w:pPr>
        <w:spacing w:line="480" w:lineRule="exact"/>
        <w:ind w:firstLine="480" w:firstLineChars="200"/>
        <w:rPr>
          <w:rFonts w:ascii="宋体" w:hAnsi="宋体" w:cs="宋体"/>
          <w:b/>
          <w:color w:val="000000"/>
          <w:kern w:val="0"/>
          <w:sz w:val="24"/>
          <w:szCs w:val="24"/>
        </w:rPr>
      </w:pPr>
      <w:r>
        <w:rPr>
          <w:rFonts w:hint="eastAsia" w:ascii="宋体" w:hAnsi="宋体" w:cs="宋体"/>
          <w:sz w:val="24"/>
          <w:szCs w:val="24"/>
        </w:rPr>
        <w:t>四</w:t>
      </w:r>
      <w:r>
        <w:rPr>
          <w:rFonts w:hint="eastAsia" w:ascii="宋体" w:hAnsi="宋体" w:cs="宋体"/>
          <w:kern w:val="0"/>
          <w:sz w:val="24"/>
          <w:szCs w:val="24"/>
        </w:rPr>
        <w:t>、履约保证金：履约保证金共计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473"/>
        <w:gridCol w:w="1819"/>
        <w:gridCol w:w="230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80" w:type="dxa"/>
            <w:vAlign w:val="center"/>
          </w:tcPr>
          <w:p>
            <w:pPr>
              <w:spacing w:line="360" w:lineRule="exac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序号</w:t>
            </w:r>
          </w:p>
        </w:tc>
        <w:tc>
          <w:tcPr>
            <w:tcW w:w="2473" w:type="dxa"/>
            <w:vAlign w:val="center"/>
          </w:tcPr>
          <w:p>
            <w:pPr>
              <w:spacing w:line="360" w:lineRule="exac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名称</w:t>
            </w:r>
          </w:p>
        </w:tc>
        <w:tc>
          <w:tcPr>
            <w:tcW w:w="1819" w:type="dxa"/>
            <w:vAlign w:val="center"/>
          </w:tcPr>
          <w:p>
            <w:pPr>
              <w:spacing w:line="360" w:lineRule="exac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品牌</w:t>
            </w:r>
          </w:p>
        </w:tc>
        <w:tc>
          <w:tcPr>
            <w:tcW w:w="2307" w:type="dxa"/>
            <w:vAlign w:val="center"/>
          </w:tcPr>
          <w:p>
            <w:pPr>
              <w:spacing w:line="360" w:lineRule="exac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规格</w:t>
            </w:r>
          </w:p>
        </w:tc>
        <w:tc>
          <w:tcPr>
            <w:tcW w:w="1644" w:type="dxa"/>
            <w:vAlign w:val="center"/>
          </w:tcPr>
          <w:p>
            <w:pPr>
              <w:spacing w:line="360" w:lineRule="exac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单价（元/斤）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手枪腿（大）5只</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琵琶腿（大）</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20斤/70个/箱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20斤/80个/箱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琵琶腿（小）</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20斤/90个/箱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5</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鸡脯</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鸡边腿</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17.2斤/箱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鸡翅根</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8</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鸡架</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14斤/箱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9</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三黄鸡</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光鸭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11</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半边鸭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12</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鸭边腿</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19斤/箱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13</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鸭腿</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14</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鸭全翅</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15</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去皮鸭脯</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16</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带皮鸭脯</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w:t>
            </w:r>
            <w:r>
              <w:rPr>
                <w:rFonts w:cs="宋体" w:asciiTheme="minorEastAsia" w:hAnsiTheme="minorEastAsia" w:eastAsiaTheme="minorEastAsia"/>
                <w:color w:val="000000"/>
                <w:szCs w:val="21"/>
              </w:rPr>
              <w:t>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17</w:t>
            </w:r>
          </w:p>
        </w:tc>
        <w:tc>
          <w:tcPr>
            <w:tcW w:w="2473"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鸭肝</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24斤/箱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18</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鸭肠</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鸭翅根</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鸭心</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24斤/箱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21</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鸡上腿肉（大）</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22</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带皮鸡胸肉块</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23</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清真琵琶腿（大）</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20斤/70个/箱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24</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清真琵琶腿（中）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20斤/80个/箱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25</w:t>
            </w:r>
          </w:p>
        </w:tc>
        <w:tc>
          <w:tcPr>
            <w:tcW w:w="2473" w:type="dxa"/>
            <w:vAlign w:val="center"/>
          </w:tcPr>
          <w:p>
            <w:pPr>
              <w:spacing w:line="36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清真琵琶腿（小）</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20斤/90个/箱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26</w:t>
            </w:r>
          </w:p>
        </w:tc>
        <w:tc>
          <w:tcPr>
            <w:tcW w:w="2473" w:type="dxa"/>
            <w:vAlign w:val="center"/>
          </w:tcPr>
          <w:p>
            <w:pPr>
              <w:spacing w:line="36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清真鸡脯</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27</w:t>
            </w:r>
          </w:p>
        </w:tc>
        <w:tc>
          <w:tcPr>
            <w:tcW w:w="2473" w:type="dxa"/>
            <w:vAlign w:val="center"/>
          </w:tcPr>
          <w:p>
            <w:pPr>
              <w:spacing w:line="36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清真鸡上腿</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28</w:t>
            </w:r>
          </w:p>
        </w:tc>
        <w:tc>
          <w:tcPr>
            <w:tcW w:w="2473" w:type="dxa"/>
            <w:vAlign w:val="center"/>
          </w:tcPr>
          <w:p>
            <w:pPr>
              <w:spacing w:line="36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清真三黄鸡</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w:t>
            </w:r>
          </w:p>
        </w:tc>
        <w:tc>
          <w:tcPr>
            <w:tcW w:w="2473" w:type="dxa"/>
            <w:vAlign w:val="center"/>
          </w:tcPr>
          <w:p>
            <w:pPr>
              <w:spacing w:line="36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清真光鸭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清真鸡翅根</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31</w:t>
            </w:r>
          </w:p>
        </w:tc>
        <w:tc>
          <w:tcPr>
            <w:tcW w:w="2473" w:type="dxa"/>
            <w:vAlign w:val="center"/>
          </w:tcPr>
          <w:p>
            <w:pPr>
              <w:spacing w:line="36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清真鸡边腿</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17.2斤/箱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32</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清真半边鸭</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0"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33</w:t>
            </w:r>
          </w:p>
        </w:tc>
        <w:tc>
          <w:tcPr>
            <w:tcW w:w="2473" w:type="dxa"/>
            <w:vAlign w:val="center"/>
          </w:tcPr>
          <w:p>
            <w:pPr>
              <w:spacing w:line="36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清真带皮鸡胸肉块</w:t>
            </w:r>
          </w:p>
        </w:tc>
        <w:tc>
          <w:tcPr>
            <w:tcW w:w="1819" w:type="dxa"/>
            <w:vAlign w:val="center"/>
          </w:tcPr>
          <w:p>
            <w:pPr>
              <w:spacing w:line="360" w:lineRule="exact"/>
              <w:jc w:val="center"/>
              <w:textAlignment w:val="center"/>
              <w:rPr>
                <w:rFonts w:cs="宋体" w:asciiTheme="minorEastAsia" w:hAnsiTheme="minorEastAsia" w:eastAsiaTheme="minorEastAsia"/>
                <w:color w:val="000000"/>
                <w:szCs w:val="21"/>
              </w:rPr>
            </w:pPr>
          </w:p>
        </w:tc>
        <w:tc>
          <w:tcPr>
            <w:tcW w:w="2307" w:type="dxa"/>
            <w:vAlign w:val="center"/>
          </w:tcPr>
          <w:p>
            <w:pPr>
              <w:spacing w:line="36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644" w:type="dxa"/>
            <w:vAlign w:val="center"/>
          </w:tcPr>
          <w:p>
            <w:pPr>
              <w:spacing w:line="360" w:lineRule="exact"/>
              <w:jc w:val="center"/>
              <w:rPr>
                <w:rFonts w:cs="宋体" w:asciiTheme="minorEastAsia" w:hAnsiTheme="minorEastAsia" w:eastAsiaTheme="minorEastAsia"/>
                <w:color w:val="000000"/>
                <w:szCs w:val="21"/>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（7）含水量超过15%的。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spacing w:line="440" w:lineRule="exact"/>
        <w:ind w:firstLine="480" w:firstLineChars="200"/>
        <w:rPr>
          <w:rFonts w:ascii="宋体" w:hAnsi="宋体"/>
          <w:bCs/>
          <w:sz w:val="24"/>
          <w:szCs w:val="24"/>
        </w:rPr>
      </w:pP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1、招标内容：冻禽产品；</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2、预计采购量：15吨。“预计采购量”仅作为投标参考量，不作为合同履约依据，如有政策性扶贫任务，采购量将依据要求减少，最终以招标人实际采购量为准。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冻禽制品：鸡鸭分割产品（鲜、冻禽产品国家标准</w:t>
      </w:r>
      <w:r>
        <w:fldChar w:fldCharType="begin"/>
      </w:r>
      <w:r>
        <w:instrText xml:space="preserve"> HYPERLINK "http://down.foodmate.net/standard/sort/3/50399.html" \t "http://down.foodmate.net/standard/sort/3/_blank" </w:instrText>
      </w:r>
      <w:r>
        <w:fldChar w:fldCharType="separate"/>
      </w:r>
      <w:r>
        <w:rPr>
          <w:rFonts w:hint="eastAsia" w:ascii="宋体" w:hAnsi="宋体" w:cs="宋体"/>
          <w:kern w:val="0"/>
          <w:sz w:val="24"/>
          <w:szCs w:val="24"/>
        </w:rPr>
        <w:t>GB 2707-2016</w:t>
      </w:r>
      <w:r>
        <w:rPr>
          <w:rFonts w:hint="eastAsia" w:ascii="宋体" w:hAnsi="宋体" w:cs="宋体"/>
          <w:kern w:val="0"/>
          <w:sz w:val="24"/>
          <w:szCs w:val="24"/>
        </w:rPr>
        <w:fldChar w:fldCharType="end"/>
      </w:r>
      <w:r>
        <w:rPr>
          <w:rFonts w:hint="eastAsia" w:ascii="宋体" w:hAnsi="宋体" w:cs="宋体"/>
          <w:kern w:val="0"/>
          <w:sz w:val="24"/>
          <w:szCs w:val="24"/>
        </w:rPr>
        <w:t>）。</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1、所供货物必须达到国家相应标准。实际供货时，质量要求要高于或等于文件要求。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2、投标人应按招标人计划要求，按本文件规定的品种、规格、质量提供成品食品原料。包装类食品产品送达日剩余保质期天数须大于产品总保质期2/3的天数、含水量不得超过15%，否则招标方有权拒绝收货。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3、乙方必须按国家有关规定就所供原料向甲方提供以下索证资料：</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 （1）相同批次产品的检验合格证或者化验单。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 （2）货物的《质量检验报告》，提供产品在半年内由国家质量检测机构出具的“质量检验报告”，自检报告无效。</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4、产品包装上必须提供品牌、生产商、产地、SC标识，包装上必须有明确的生产日期、保质期。</w:t>
      </w:r>
    </w:p>
    <w:p>
      <w:pPr>
        <w:spacing w:line="480" w:lineRule="exact"/>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kern w:val="0"/>
          <w:sz w:val="24"/>
          <w:szCs w:val="24"/>
        </w:rPr>
        <w:t>、</w:t>
      </w: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p>
      <w:pPr>
        <w:spacing w:after="100" w:afterAutospacing="1" w:line="48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w:t>
      </w:r>
      <w:r>
        <w:rPr>
          <w:rFonts w:hint="eastAsia" w:ascii="宋体" w:hAnsi="宋体" w:cs="宋体"/>
          <w:sz w:val="24"/>
          <w:szCs w:val="24"/>
        </w:rPr>
        <w:t>所在楼层，通榆校区食堂：南园一楼、北园一楼、北园二楼、北园三楼；新长校区食堂：沁园一楼、沁园二楼、沁园三楼、萃园一楼、萃园二楼、萃园三楼</w:t>
      </w:r>
      <w:r>
        <w:rPr>
          <w:rFonts w:hint="eastAsia" w:ascii="宋体" w:hAnsi="宋体" w:cs="宋体"/>
          <w:kern w:val="0"/>
          <w:sz w:val="24"/>
          <w:szCs w:val="24"/>
        </w:rPr>
        <w:t>。</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 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b/>
          <w:color w:val="FF0000"/>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2名入围中标候选人。</w:t>
      </w:r>
      <w:r>
        <w:rPr>
          <w:rFonts w:hint="eastAsia" w:ascii="宋体" w:hAnsi="宋体"/>
          <w:b/>
          <w:sz w:val="24"/>
          <w:szCs w:val="24"/>
        </w:rPr>
        <w:t>招标人根据评标委员会提出的书面评标报告和推荐的中标侯选人依法确定2名中标人，并分别签订合同。学校各食堂档口根据需要自行选择中标人进行订货，按中标人的报价进行结算，学校不保证中标人的订货量。</w:t>
      </w:r>
    </w:p>
    <w:p>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综合投标报价（即所有产品小计价格的总和作为综合投标报价）最低的有效综合投标报价为评标基准价，其价格分为满分，其他投标人的价格分按下列公式计算：投标报价得分＝（评标基准价/综合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须有固定冷冻仓储仓库用于冻品储存，须提供冷冻仓储仓库与投标单位之间关系的产权证明复印件，或提供投标单位租赁冷冻仓储仓库合同复印件；提供冷冻仓储仓库全景及内景照片。照片和复印件加盖投标人公章。</w:t>
            </w:r>
          </w:p>
          <w:p>
            <w:pPr>
              <w:ind w:firstLine="480" w:firstLineChars="200"/>
              <w:rPr>
                <w:rFonts w:ascii="宋体" w:hAnsi="宋体" w:cs="楷体"/>
                <w:sz w:val="24"/>
                <w:szCs w:val="24"/>
              </w:rPr>
            </w:pPr>
            <w:r>
              <w:rPr>
                <w:rFonts w:hint="eastAsia" w:ascii="宋体" w:hAnsi="宋体" w:cs="宋体"/>
                <w:color w:val="000000"/>
                <w:kern w:val="0"/>
                <w:sz w:val="24"/>
                <w:szCs w:val="24"/>
                <w:shd w:val="clear" w:color="auto" w:fill="FFFFFF"/>
              </w:rPr>
              <w:t>冷冻仓储仓库500平方米（含）以上的得5分，200平方米（含）至500平方米的得2.5分，小于200平方米的不得分。未按以上要求提供相关材料或扫描不清晰导致无法识别的不计得分。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本项最多得5分。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2440"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投标人有冻禽配送车辆，每有一辆得</w:t>
            </w:r>
            <w:r>
              <w:rPr>
                <w:rFonts w:ascii="宋体" w:hAnsi="宋体"/>
                <w:sz w:val="24"/>
                <w:szCs w:val="24"/>
              </w:rPr>
              <w:t>3</w:t>
            </w:r>
            <w:r>
              <w:rPr>
                <w:rFonts w:hint="eastAsia" w:ascii="宋体" w:hAnsi="宋体"/>
                <w:sz w:val="24"/>
                <w:szCs w:val="24"/>
              </w:rPr>
              <w:t>分，配有冷链运输车辆，有1辆加</w:t>
            </w:r>
            <w:r>
              <w:rPr>
                <w:rFonts w:ascii="宋体" w:hAnsi="宋体"/>
                <w:sz w:val="24"/>
                <w:szCs w:val="24"/>
              </w:rPr>
              <w:t>2</w:t>
            </w:r>
            <w:r>
              <w:rPr>
                <w:rFonts w:hint="eastAsia" w:ascii="宋体" w:hAnsi="宋体"/>
                <w:sz w:val="24"/>
                <w:szCs w:val="24"/>
              </w:rPr>
              <w:t>分。</w:t>
            </w:r>
            <w:r>
              <w:rPr>
                <w:rFonts w:hint="eastAsia" w:ascii="宋体" w:hAnsi="宋体"/>
                <w:b/>
                <w:bCs/>
                <w:sz w:val="24"/>
                <w:szCs w:val="24"/>
              </w:rPr>
              <w:t>本项最多得</w:t>
            </w:r>
            <w:r>
              <w:rPr>
                <w:rFonts w:ascii="宋体" w:hAnsi="宋体"/>
                <w:b/>
                <w:bCs/>
                <w:sz w:val="24"/>
                <w:szCs w:val="24"/>
              </w:rPr>
              <w:t>5</w:t>
            </w:r>
            <w:r>
              <w:rPr>
                <w:rFonts w:hint="eastAsia" w:ascii="宋体" w:hAnsi="宋体"/>
                <w:b/>
                <w:bCs/>
                <w:sz w:val="24"/>
                <w:szCs w:val="24"/>
              </w:rPr>
              <w:t>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cs="楷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68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9</w:t>
            </w:r>
            <w:r>
              <w:rPr>
                <w:rFonts w:hint="eastAsia" w:ascii="宋体" w:hAnsi="宋体"/>
                <w:sz w:val="24"/>
                <w:szCs w:val="24"/>
              </w:rPr>
              <w:t>分，满足以上两项要求得6分，满足一项得3分，其它情况不得分。格式自拟，加盖投标人公章。</w:t>
            </w:r>
          </w:p>
        </w:tc>
      </w:tr>
      <w:tr>
        <w:tblPrEx>
          <w:tblCellMar>
            <w:top w:w="0" w:type="dxa"/>
            <w:left w:w="108" w:type="dxa"/>
            <w:bottom w:w="0" w:type="dxa"/>
            <w:right w:w="108" w:type="dxa"/>
          </w:tblCellMar>
        </w:tblPrEx>
        <w:trPr>
          <w:trHeight w:val="339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6</w:t>
            </w:r>
            <w:r>
              <w:rPr>
                <w:rFonts w:hint="eastAsia" w:ascii="宋体" w:hAnsi="宋体"/>
                <w:sz w:val="24"/>
                <w:szCs w:val="24"/>
              </w:rPr>
              <w:t>分，满足以上两项要求得4分，满足一项得分2分，其它情况不得分。格式自拟，加盖投标人公章。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物流配送应急处理的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食品安全应急处理的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满足以上两项要求得</w:t>
            </w:r>
            <w:r>
              <w:rPr>
                <w:rFonts w:hint="eastAsia" w:ascii="宋体" w:hAnsi="宋体"/>
                <w:bCs/>
                <w:sz w:val="24"/>
                <w:szCs w:val="24"/>
              </w:rPr>
              <w:t>2</w:t>
            </w:r>
            <w:r>
              <w:rPr>
                <w:rFonts w:hint="eastAsia" w:ascii="宋体" w:hAnsi="宋体"/>
                <w:sz w:val="24"/>
                <w:szCs w:val="24"/>
              </w:rPr>
              <w:t>分，满足以上一项要求得1分，其它情况不得分。格式自拟，加盖投标人公章。</w:t>
            </w:r>
          </w:p>
        </w:tc>
      </w:tr>
    </w:tbl>
    <w:p>
      <w:r>
        <w:br w:type="page"/>
      </w:r>
    </w:p>
    <w:tbl>
      <w:tblPr>
        <w:tblStyle w:val="15"/>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1736" w:type="dxa"/>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pPr>
        <w:spacing w:line="440" w:lineRule="exact"/>
        <w:rPr>
          <w:rFonts w:ascii="仿宋" w:hAnsi="仿宋" w:eastAsia="仿宋"/>
          <w:b/>
          <w:bCs/>
          <w:sz w:val="28"/>
          <w:szCs w:val="28"/>
        </w:rPr>
      </w:pPr>
    </w:p>
    <w:p>
      <w:pPr>
        <w:spacing w:line="400" w:lineRule="exact"/>
        <w:ind w:firstLine="480" w:firstLineChars="200"/>
        <w:jc w:val="left"/>
        <w:rPr>
          <w:rFonts w:cs="宋体"/>
          <w:kern w:val="0"/>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3969"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ind w:firstLine="480" w:firstLineChars="200"/>
              <w:jc w:val="center"/>
              <w:rPr>
                <w:rFonts w:ascii="宋体" w:hAnsi="宋体"/>
                <w:iCs/>
                <w:sz w:val="24"/>
                <w:szCs w:val="24"/>
              </w:rPr>
            </w:pP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综合投标报价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（即所有产品小计价格的总和作为综合投标报价）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62"/>
        <w:gridCol w:w="1638"/>
        <w:gridCol w:w="1016"/>
        <w:gridCol w:w="1153"/>
        <w:gridCol w:w="899"/>
        <w:gridCol w:w="181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4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1362"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638"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规格（箱）</w:t>
            </w:r>
          </w:p>
        </w:tc>
        <w:tc>
          <w:tcPr>
            <w:tcW w:w="1016"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预计采购量（斤）</w:t>
            </w:r>
          </w:p>
        </w:tc>
        <w:tc>
          <w:tcPr>
            <w:tcW w:w="1153"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最高限价（元/斤）</w:t>
            </w:r>
          </w:p>
        </w:tc>
        <w:tc>
          <w:tcPr>
            <w:tcW w:w="899"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指导</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81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单价（元/斤）</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（小数点后2位）</w:t>
            </w:r>
          </w:p>
        </w:tc>
        <w:tc>
          <w:tcPr>
            <w:tcW w:w="120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手枪腿（大）5只</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9.25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琵琶腿（大）</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20斤/70个/箱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6.20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琵琶腿（中）</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20斤/80个/箱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1000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6.75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琵琶腿（小）</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20斤/90个/箱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7.22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5</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鸡脯</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4000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6.00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鸡边腿</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17.2斤/箱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1500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5.81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鸡翅根</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6.68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8</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鸡架</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14斤/箱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2.81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9</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三黄鸡</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19斤/箱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6.75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鲁西</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光鸭</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4.63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光大</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11</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半边鸭</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19斤/箱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4.67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12</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鸭边腿</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color w:val="000000"/>
                <w:szCs w:val="21"/>
              </w:rPr>
              <w:t>19斤/箱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2400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4.86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13</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鸭腿</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5.80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14</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鸭全翅</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60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5.07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15</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去皮鸭脯</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6.37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16</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带皮鸭脯</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w:t>
            </w:r>
            <w:r>
              <w:rPr>
                <w:rFonts w:cs="宋体" w:asciiTheme="minorEastAsia" w:hAnsiTheme="minorEastAsia" w:eastAsiaTheme="minorEastAsia"/>
                <w:color w:val="000000"/>
                <w:szCs w:val="21"/>
              </w:rPr>
              <w:t>0斤/箱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5.38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17</w:t>
            </w:r>
          </w:p>
        </w:tc>
        <w:tc>
          <w:tcPr>
            <w:tcW w:w="1362"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鸭肝</w:t>
            </w:r>
          </w:p>
        </w:tc>
        <w:tc>
          <w:tcPr>
            <w:tcW w:w="1638"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24斤/箱</w:t>
            </w:r>
          </w:p>
        </w:tc>
        <w:tc>
          <w:tcPr>
            <w:tcW w:w="1016" w:type="dxa"/>
            <w:vAlign w:val="center"/>
          </w:tcPr>
          <w:p>
            <w:pPr>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1.86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18</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鸭肠</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6.75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鸭翅根</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3.98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鸭心</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24斤/箱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4.44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21</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鸡上腿肉（大）</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6000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6.55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22</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带皮鸡胸肉块</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6.52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23</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清真琵琶腿（大）</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20斤/70个/箱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6.20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24</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rPr>
              <w:t>清真琵琶腿（中）</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20斤/80个/箱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6.75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25</w:t>
            </w:r>
          </w:p>
        </w:tc>
        <w:tc>
          <w:tcPr>
            <w:tcW w:w="1362" w:type="dxa"/>
            <w:vAlign w:val="center"/>
          </w:tcPr>
          <w:p>
            <w:pPr>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清真琵琶腿（小）</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20斤/90个/箱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7.22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26</w:t>
            </w:r>
          </w:p>
        </w:tc>
        <w:tc>
          <w:tcPr>
            <w:tcW w:w="1362" w:type="dxa"/>
            <w:vAlign w:val="center"/>
          </w:tcPr>
          <w:p>
            <w:pPr>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清真鸡脯</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6.00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27</w:t>
            </w:r>
          </w:p>
        </w:tc>
        <w:tc>
          <w:tcPr>
            <w:tcW w:w="1362" w:type="dxa"/>
            <w:vAlign w:val="center"/>
          </w:tcPr>
          <w:p>
            <w:pPr>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清真鸡上腿</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6.55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28</w:t>
            </w:r>
          </w:p>
        </w:tc>
        <w:tc>
          <w:tcPr>
            <w:tcW w:w="1362" w:type="dxa"/>
            <w:vAlign w:val="center"/>
          </w:tcPr>
          <w:p>
            <w:pPr>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清真三黄鸡</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6.75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鲁西</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w:t>
            </w:r>
          </w:p>
        </w:tc>
        <w:tc>
          <w:tcPr>
            <w:tcW w:w="1362" w:type="dxa"/>
            <w:vAlign w:val="center"/>
          </w:tcPr>
          <w:p>
            <w:pPr>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清真光鸭</w:t>
            </w:r>
          </w:p>
        </w:tc>
        <w:tc>
          <w:tcPr>
            <w:tcW w:w="1638"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29斤/箱</w:t>
            </w:r>
          </w:p>
        </w:tc>
        <w:tc>
          <w:tcPr>
            <w:tcW w:w="1016"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3.45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光大</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清真鸡翅根</w:t>
            </w:r>
          </w:p>
        </w:tc>
        <w:tc>
          <w:tcPr>
            <w:tcW w:w="1638"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6.68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31</w:t>
            </w:r>
          </w:p>
        </w:tc>
        <w:tc>
          <w:tcPr>
            <w:tcW w:w="1362"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清真鸡边腿</w:t>
            </w:r>
          </w:p>
        </w:tc>
        <w:tc>
          <w:tcPr>
            <w:tcW w:w="1638"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17.2斤/箱</w:t>
            </w:r>
          </w:p>
        </w:tc>
        <w:tc>
          <w:tcPr>
            <w:tcW w:w="101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6.59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32</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清真半边鸭</w:t>
            </w:r>
          </w:p>
        </w:tc>
        <w:tc>
          <w:tcPr>
            <w:tcW w:w="1638"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19斤/箱</w:t>
            </w:r>
          </w:p>
        </w:tc>
        <w:tc>
          <w:tcPr>
            <w:tcW w:w="101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4.67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33</w:t>
            </w:r>
          </w:p>
        </w:tc>
        <w:tc>
          <w:tcPr>
            <w:tcW w:w="1362" w:type="dxa"/>
            <w:vAlign w:val="center"/>
          </w:tcPr>
          <w:p>
            <w:pPr>
              <w:spacing w:line="240" w:lineRule="exact"/>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color w:val="000000"/>
                <w:kern w:val="0"/>
                <w:szCs w:val="21"/>
                <w:lang w:bidi="ar"/>
              </w:rPr>
              <w:t>清真带皮鸡胸肉块</w:t>
            </w:r>
          </w:p>
        </w:tc>
        <w:tc>
          <w:tcPr>
            <w:tcW w:w="1638"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20斤/箱</w:t>
            </w:r>
          </w:p>
        </w:tc>
        <w:tc>
          <w:tcPr>
            <w:tcW w:w="101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4800</w:t>
            </w:r>
          </w:p>
        </w:tc>
        <w:tc>
          <w:tcPr>
            <w:tcW w:w="1153"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 xml:space="preserve">6.52 </w:t>
            </w:r>
          </w:p>
        </w:tc>
        <w:tc>
          <w:tcPr>
            <w:tcW w:w="899" w:type="dxa"/>
            <w:vAlign w:val="center"/>
          </w:tcPr>
          <w:p>
            <w:pPr>
              <w:spacing w:line="240" w:lineRule="exact"/>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六和</w:t>
            </w: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06" w:type="dxa"/>
            <w:gridSpan w:val="2"/>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1638" w:type="dxa"/>
            <w:vAlign w:val="center"/>
          </w:tcPr>
          <w:p>
            <w:pPr>
              <w:spacing w:line="240" w:lineRule="exact"/>
              <w:jc w:val="center"/>
              <w:rPr>
                <w:rFonts w:cs="宋体" w:asciiTheme="minorEastAsia" w:hAnsiTheme="minorEastAsia" w:eastAsiaTheme="minorEastAsia"/>
                <w:color w:val="000000"/>
                <w:szCs w:val="21"/>
              </w:rPr>
            </w:pPr>
          </w:p>
        </w:tc>
        <w:tc>
          <w:tcPr>
            <w:tcW w:w="1016" w:type="dxa"/>
            <w:vAlign w:val="center"/>
          </w:tcPr>
          <w:p>
            <w:pPr>
              <w:spacing w:line="240" w:lineRule="exact"/>
              <w:jc w:val="center"/>
              <w:rPr>
                <w:rFonts w:cs="宋体" w:asciiTheme="minorEastAsia" w:hAnsiTheme="minorEastAsia" w:eastAsiaTheme="minorEastAsia"/>
                <w:color w:val="000000"/>
                <w:szCs w:val="21"/>
              </w:rPr>
            </w:pPr>
          </w:p>
        </w:tc>
        <w:tc>
          <w:tcPr>
            <w:tcW w:w="1153" w:type="dxa"/>
            <w:vAlign w:val="center"/>
          </w:tcPr>
          <w:p>
            <w:pPr>
              <w:spacing w:line="240" w:lineRule="exact"/>
              <w:jc w:val="center"/>
              <w:rPr>
                <w:rFonts w:cs="宋体" w:asciiTheme="minorEastAsia" w:hAnsiTheme="minorEastAsia" w:eastAsiaTheme="minorEastAsia"/>
                <w:color w:val="000000"/>
                <w:szCs w:val="21"/>
              </w:rPr>
            </w:pPr>
          </w:p>
        </w:tc>
        <w:tc>
          <w:tcPr>
            <w:tcW w:w="899" w:type="dxa"/>
            <w:vAlign w:val="center"/>
          </w:tcPr>
          <w:p>
            <w:pPr>
              <w:spacing w:line="240" w:lineRule="exact"/>
              <w:jc w:val="center"/>
              <w:rPr>
                <w:rFonts w:cs="宋体" w:asciiTheme="minorEastAsia" w:hAnsiTheme="minorEastAsia" w:eastAsiaTheme="minorEastAsia"/>
                <w:color w:val="000000"/>
                <w:szCs w:val="21"/>
              </w:rPr>
            </w:pPr>
          </w:p>
        </w:tc>
        <w:tc>
          <w:tcPr>
            <w:tcW w:w="1814" w:type="dxa"/>
            <w:vAlign w:val="center"/>
          </w:tcPr>
          <w:p>
            <w:pPr>
              <w:spacing w:line="240" w:lineRule="exact"/>
              <w:jc w:val="center"/>
              <w:rPr>
                <w:rFonts w:cs="宋体" w:asciiTheme="minorEastAsia" w:hAnsiTheme="minorEastAsia" w:eastAsiaTheme="minorEastAsia"/>
                <w:color w:val="000000"/>
                <w:szCs w:val="21"/>
              </w:rPr>
            </w:pPr>
          </w:p>
        </w:tc>
        <w:tc>
          <w:tcPr>
            <w:tcW w:w="1204" w:type="dxa"/>
            <w:vAlign w:val="center"/>
          </w:tcPr>
          <w:p>
            <w:pPr>
              <w:spacing w:line="240" w:lineRule="exact"/>
              <w:jc w:val="center"/>
              <w:rPr>
                <w:rFonts w:cs="宋体" w:asciiTheme="minorEastAsia" w:hAnsiTheme="minorEastAsia" w:eastAsiaTheme="minorEastAsia"/>
                <w:szCs w:val="21"/>
              </w:rPr>
            </w:pPr>
          </w:p>
        </w:tc>
      </w:tr>
    </w:tbl>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注：1.</w:t>
      </w:r>
      <w:r>
        <w:rPr>
          <w:rFonts w:hint="eastAsia" w:ascii="宋体" w:hAnsi="宋体" w:cs="宋体"/>
          <w:b/>
          <w:color w:val="000000"/>
          <w:kern w:val="0"/>
          <w:szCs w:val="21"/>
        </w:rPr>
        <w:t>投标人必须使用表中指导品牌按斤进行报价，所有品种</w:t>
      </w:r>
      <w:r>
        <w:rPr>
          <w:rFonts w:hint="eastAsia" w:ascii="宋体" w:hAnsi="宋体" w:cs="宋体"/>
          <w:b/>
          <w:kern w:val="0"/>
          <w:szCs w:val="21"/>
        </w:rPr>
        <w:t>必须全部报价，</w:t>
      </w:r>
      <w:r>
        <w:rPr>
          <w:rFonts w:hint="eastAsia" w:ascii="宋体" w:hAnsi="宋体" w:cs="宋体"/>
          <w:b/>
          <w:color w:val="000000"/>
          <w:kern w:val="0"/>
          <w:szCs w:val="21"/>
        </w:rPr>
        <w:t>否则为无效标书。</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2.投标人报价不得高于最高限价，否则为无效报价。</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3.供货期内价格不得调整。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公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jc w:val="center"/>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25</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42</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43</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ZiYjg5ZDg1ZTQyMDJjMTQwZmExZDJhNDQzYTIifQ=="/>
  </w:docVars>
  <w:rsids>
    <w:rsidRoot w:val="002479F9"/>
    <w:rsid w:val="00001E59"/>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722"/>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A39"/>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3745"/>
    <w:rsid w:val="00474638"/>
    <w:rsid w:val="00474D3D"/>
    <w:rsid w:val="00475A40"/>
    <w:rsid w:val="00483D5C"/>
    <w:rsid w:val="004841DF"/>
    <w:rsid w:val="00485A55"/>
    <w:rsid w:val="004924AB"/>
    <w:rsid w:val="004A0A43"/>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33F1"/>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055"/>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180"/>
    <w:rsid w:val="00885842"/>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B712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57EDA"/>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307B"/>
    <w:rsid w:val="00CB5632"/>
    <w:rsid w:val="00CB6F62"/>
    <w:rsid w:val="00CC1D2A"/>
    <w:rsid w:val="00CC251B"/>
    <w:rsid w:val="00CC3251"/>
    <w:rsid w:val="00CC3BD2"/>
    <w:rsid w:val="00CC427F"/>
    <w:rsid w:val="00CD0150"/>
    <w:rsid w:val="00CD3A22"/>
    <w:rsid w:val="00CD558B"/>
    <w:rsid w:val="00CD58FF"/>
    <w:rsid w:val="00CD75B5"/>
    <w:rsid w:val="00CE434C"/>
    <w:rsid w:val="00CE463D"/>
    <w:rsid w:val="00CE61A7"/>
    <w:rsid w:val="00CF5799"/>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47E09"/>
    <w:rsid w:val="00E51AB9"/>
    <w:rsid w:val="00E54244"/>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1B0"/>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5421"/>
    <w:rsid w:val="00FF54F8"/>
    <w:rsid w:val="00FF58D9"/>
    <w:rsid w:val="018A5D41"/>
    <w:rsid w:val="01E45FB7"/>
    <w:rsid w:val="02415C62"/>
    <w:rsid w:val="02872629"/>
    <w:rsid w:val="035058C7"/>
    <w:rsid w:val="035E0DBD"/>
    <w:rsid w:val="03F86B1C"/>
    <w:rsid w:val="04784D87"/>
    <w:rsid w:val="060317A8"/>
    <w:rsid w:val="07C35693"/>
    <w:rsid w:val="08BF40AC"/>
    <w:rsid w:val="08CE22D8"/>
    <w:rsid w:val="09782D65"/>
    <w:rsid w:val="099A468B"/>
    <w:rsid w:val="0A875C10"/>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ABF141C"/>
    <w:rsid w:val="1EF651FF"/>
    <w:rsid w:val="1F262338"/>
    <w:rsid w:val="1F550AAE"/>
    <w:rsid w:val="21010D55"/>
    <w:rsid w:val="21D94E59"/>
    <w:rsid w:val="224156DA"/>
    <w:rsid w:val="230230BC"/>
    <w:rsid w:val="23984280"/>
    <w:rsid w:val="253B0B07"/>
    <w:rsid w:val="257449AC"/>
    <w:rsid w:val="2790205B"/>
    <w:rsid w:val="288D3427"/>
    <w:rsid w:val="28C54DCD"/>
    <w:rsid w:val="28CE4005"/>
    <w:rsid w:val="29F9354B"/>
    <w:rsid w:val="2A73489F"/>
    <w:rsid w:val="2C5C33A3"/>
    <w:rsid w:val="2CE455E0"/>
    <w:rsid w:val="2CF73A01"/>
    <w:rsid w:val="2E1524DD"/>
    <w:rsid w:val="301B0ADB"/>
    <w:rsid w:val="308B2942"/>
    <w:rsid w:val="32285F6F"/>
    <w:rsid w:val="3266677F"/>
    <w:rsid w:val="32ED521C"/>
    <w:rsid w:val="348F6779"/>
    <w:rsid w:val="36061271"/>
    <w:rsid w:val="360D3DFA"/>
    <w:rsid w:val="377939F2"/>
    <w:rsid w:val="38AA5930"/>
    <w:rsid w:val="392626C6"/>
    <w:rsid w:val="3943735F"/>
    <w:rsid w:val="39965260"/>
    <w:rsid w:val="3A4D0C68"/>
    <w:rsid w:val="3B003F2D"/>
    <w:rsid w:val="3B4007CD"/>
    <w:rsid w:val="3EA347C1"/>
    <w:rsid w:val="3EDD5BC4"/>
    <w:rsid w:val="40384169"/>
    <w:rsid w:val="40B04500"/>
    <w:rsid w:val="40CA3013"/>
    <w:rsid w:val="41874A60"/>
    <w:rsid w:val="427B5168"/>
    <w:rsid w:val="42870A90"/>
    <w:rsid w:val="42C13A9F"/>
    <w:rsid w:val="43076514"/>
    <w:rsid w:val="43FB4232"/>
    <w:rsid w:val="444F1F4F"/>
    <w:rsid w:val="447F7AC2"/>
    <w:rsid w:val="44A1236F"/>
    <w:rsid w:val="44F22F67"/>
    <w:rsid w:val="456B4496"/>
    <w:rsid w:val="493F377B"/>
    <w:rsid w:val="49AA1C33"/>
    <w:rsid w:val="4B8E3418"/>
    <w:rsid w:val="4C9F589F"/>
    <w:rsid w:val="4D1E40A2"/>
    <w:rsid w:val="4DD04FF2"/>
    <w:rsid w:val="4DE01544"/>
    <w:rsid w:val="4E824F2D"/>
    <w:rsid w:val="4F6603AB"/>
    <w:rsid w:val="4F820F5D"/>
    <w:rsid w:val="50B74C36"/>
    <w:rsid w:val="51D27F79"/>
    <w:rsid w:val="52F77B3F"/>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D03D2"/>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83AEF"/>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qFormat/>
    <w:uiPriority w:val="99"/>
    <w:pPr>
      <w:autoSpaceDE w:val="0"/>
      <w:autoSpaceDN w:val="0"/>
      <w:adjustRightInd w:val="0"/>
      <w:jc w:val="left"/>
      <w:outlineLvl w:val="1"/>
    </w:pPr>
    <w:rPr>
      <w:kern w:val="0"/>
      <w:sz w:val="24"/>
      <w:szCs w:val="24"/>
    </w:rPr>
  </w:style>
  <w:style w:type="paragraph" w:styleId="4">
    <w:name w:val="heading 3"/>
    <w:basedOn w:val="1"/>
    <w:next w:val="1"/>
    <w:link w:val="23"/>
    <w:qFormat/>
    <w:uiPriority w:val="99"/>
    <w:pPr>
      <w:autoSpaceDE w:val="0"/>
      <w:autoSpaceDN w:val="0"/>
      <w:adjustRightInd w:val="0"/>
      <w:jc w:val="left"/>
      <w:outlineLvl w:val="2"/>
    </w:pPr>
    <w:rPr>
      <w:kern w:val="0"/>
      <w:sz w:val="24"/>
      <w:szCs w:val="24"/>
    </w:rPr>
  </w:style>
  <w:style w:type="paragraph" w:styleId="5">
    <w:name w:val="heading 4"/>
    <w:basedOn w:val="1"/>
    <w:next w:val="1"/>
    <w:link w:val="24"/>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spacing w:after="160" w:line="259" w:lineRule="auto"/>
    </w:pPr>
    <w:rPr>
      <w:rFonts w:ascii="等线" w:hAnsi="等线" w:eastAsia="等线"/>
      <w:sz w:val="20"/>
      <w:szCs w:val="20"/>
    </w:rPr>
  </w:style>
  <w:style w:type="paragraph" w:styleId="7">
    <w:name w:val="toc 3"/>
    <w:basedOn w:val="1"/>
    <w:next w:val="1"/>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unhideWhenUsed/>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unhideWhenUsed/>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qFormat/>
    <w:uiPriority w:val="99"/>
    <w:rPr>
      <w:rFonts w:ascii="等线" w:hAnsi="等线" w:eastAsia="等线"/>
      <w:kern w:val="2"/>
    </w:rPr>
  </w:style>
  <w:style w:type="character" w:customStyle="1" w:styleId="26">
    <w:name w:val="批注框文本 Char"/>
    <w:link w:val="9"/>
    <w:semiHidden/>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qFormat/>
    <w:uiPriority w:val="0"/>
    <w:rPr>
      <w:kern w:val="2"/>
      <w:sz w:val="18"/>
      <w:szCs w:val="18"/>
    </w:rPr>
  </w:style>
  <w:style w:type="character" w:customStyle="1" w:styleId="29">
    <w:name w:val="批注主题 Char"/>
    <w:link w:val="14"/>
    <w:semiHidden/>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2D52-4C3E-42C0-BCE7-256EB4C1F2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3594</Words>
  <Characters>20492</Characters>
  <Lines>170</Lines>
  <Paragraphs>48</Paragraphs>
  <TotalTime>2</TotalTime>
  <ScaleCrop>false</ScaleCrop>
  <LinksUpToDate>false</LinksUpToDate>
  <CharactersWithSpaces>24038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lenovo</cp:lastModifiedBy>
  <cp:lastPrinted>2021-08-17T07:59:00Z</cp:lastPrinted>
  <dcterms:modified xsi:type="dcterms:W3CDTF">2024-01-09T11:02:20Z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DE3C91C2A3B5482180EC7207DA540B60</vt:lpwstr>
  </property>
</Properties>
</file>