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b/>
          <w:bCs/>
          <w:sz w:val="84"/>
          <w:szCs w:val="84"/>
          <w:lang w:val="zh-CN"/>
        </w:rPr>
      </w:pPr>
    </w:p>
    <w:p>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pPr>
        <w:autoSpaceDE w:val="0"/>
        <w:autoSpaceDN w:val="0"/>
        <w:adjustRightInd w:val="0"/>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YSHQ2024-ZB-0106</w:t>
      </w:r>
    </w:p>
    <w:p>
      <w:pPr>
        <w:spacing w:line="700" w:lineRule="exact"/>
        <w:ind w:left="1807" w:hanging="1807" w:hangingChars="5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盐城师范学院2024年春学期食堂大宗食材</w:t>
      </w:r>
    </w:p>
    <w:p>
      <w:pPr>
        <w:spacing w:line="700" w:lineRule="exact"/>
        <w:ind w:firstLine="2891" w:firstLineChars="800"/>
        <w:rPr>
          <w:rFonts w:ascii="宋体" w:hAnsi="宋体" w:cs="宋体"/>
          <w:b/>
          <w:bCs/>
          <w:sz w:val="32"/>
          <w:szCs w:val="32"/>
        </w:rPr>
      </w:pPr>
      <w:r>
        <w:rPr>
          <w:rFonts w:hint="eastAsia" w:ascii="宋体" w:hAnsi="宋体" w:cs="宋体"/>
          <w:b/>
          <w:bCs/>
          <w:sz w:val="36"/>
          <w:szCs w:val="36"/>
        </w:rPr>
        <w:t>（猪肉及猪副产品）采购项目</w:t>
      </w: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2024年1月</w:t>
      </w:r>
      <w:r>
        <w:rPr>
          <w:rFonts w:hint="eastAsia" w:ascii="宋体" w:hAnsi="宋体" w:cs="黑体"/>
          <w:b/>
          <w:sz w:val="36"/>
          <w:szCs w:val="36"/>
          <w:lang w:val="en-US" w:eastAsia="zh-CN"/>
        </w:rPr>
        <w:t>9</w:t>
      </w:r>
      <w:r>
        <w:rPr>
          <w:rFonts w:hint="eastAsia" w:ascii="宋体" w:hAnsi="宋体" w:cs="黑体"/>
          <w:b/>
          <w:sz w:val="36"/>
          <w:szCs w:val="36"/>
          <w:lang w:val="zh-CN"/>
        </w:rPr>
        <w:t>日</w:t>
      </w:r>
    </w:p>
    <w:p>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pPr>
        <w:pStyle w:val="16"/>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23"/>
          <w:rFonts w:hint="eastAsia" w:ascii="宋体" w:hAnsi="宋体" w:cs="黑体"/>
          <w:b/>
          <w:sz w:val="30"/>
          <w:szCs w:val="30"/>
          <w:lang w:val="zh-CN"/>
        </w:rPr>
        <w:t>第一章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23"/>
          <w:rFonts w:hint="eastAsia" w:ascii="宋体" w:hAnsi="宋体" w:cs="黑体"/>
          <w:b/>
          <w:sz w:val="30"/>
          <w:szCs w:val="30"/>
          <w:lang w:val="zh-CN"/>
        </w:rPr>
        <w:t>第二章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23"/>
          <w:rFonts w:hint="eastAsia" w:ascii="宋体" w:hAnsi="宋体"/>
          <w:b/>
          <w:sz w:val="30"/>
          <w:szCs w:val="30"/>
        </w:rPr>
        <w:t>第三章</w:t>
      </w:r>
      <w:r>
        <w:rPr>
          <w:rStyle w:val="23"/>
          <w:rFonts w:ascii="宋体" w:hAnsi="宋体"/>
          <w:b/>
          <w:sz w:val="30"/>
          <w:szCs w:val="30"/>
        </w:rPr>
        <w:t xml:space="preserve">  </w:t>
      </w:r>
      <w:r>
        <w:rPr>
          <w:rStyle w:val="23"/>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23"/>
          <w:rFonts w:hint="eastAsia" w:ascii="宋体" w:hAnsi="宋体"/>
          <w:b/>
          <w:bCs/>
          <w:sz w:val="30"/>
          <w:szCs w:val="30"/>
        </w:rPr>
        <w:t>第四章</w:t>
      </w:r>
      <w:r>
        <w:rPr>
          <w:rStyle w:val="23"/>
          <w:rFonts w:ascii="宋体" w:hAnsi="宋体"/>
          <w:b/>
          <w:bCs/>
          <w:sz w:val="30"/>
          <w:szCs w:val="30"/>
        </w:rPr>
        <w:t xml:space="preserve">  </w:t>
      </w:r>
      <w:r>
        <w:rPr>
          <w:rStyle w:val="23"/>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23</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23"/>
          <w:rFonts w:hint="eastAsia" w:ascii="宋体" w:hAnsi="宋体"/>
          <w:b/>
          <w:bCs/>
          <w:sz w:val="30"/>
          <w:szCs w:val="30"/>
        </w:rPr>
        <w:t>第五章</w:t>
      </w:r>
      <w:r>
        <w:rPr>
          <w:rStyle w:val="23"/>
          <w:rFonts w:ascii="宋体" w:hAnsi="宋体"/>
          <w:b/>
          <w:bCs/>
          <w:sz w:val="30"/>
          <w:szCs w:val="30"/>
        </w:rPr>
        <w:t xml:space="preserve">  </w:t>
      </w:r>
      <w:r>
        <w:rPr>
          <w:rStyle w:val="23"/>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26</w:t>
      </w:r>
      <w:r>
        <w:rPr>
          <w:rFonts w:ascii="宋体" w:hAnsi="宋体"/>
          <w:b/>
          <w:sz w:val="30"/>
          <w:szCs w:val="30"/>
        </w:rPr>
        <w:fldChar w:fldCharType="end"/>
      </w:r>
      <w:r>
        <w:rPr>
          <w:rFonts w:ascii="宋体" w:hAnsi="宋体"/>
          <w:b/>
          <w:sz w:val="30"/>
          <w:szCs w:val="30"/>
        </w:rPr>
        <w:fldChar w:fldCharType="end"/>
      </w:r>
    </w:p>
    <w:p>
      <w:pPr>
        <w:pStyle w:val="16"/>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23"/>
          <w:rFonts w:hint="eastAsia" w:ascii="宋体" w:hAnsi="宋体" w:cs="黑体"/>
          <w:b/>
          <w:sz w:val="30"/>
          <w:szCs w:val="30"/>
          <w:lang w:val="zh-CN"/>
        </w:rPr>
        <w:t>第六章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29</w:t>
      </w:r>
      <w:r>
        <w:rPr>
          <w:rFonts w:ascii="宋体" w:hAnsi="宋体"/>
          <w:b/>
          <w:sz w:val="30"/>
          <w:szCs w:val="30"/>
        </w:rPr>
        <w:fldChar w:fldCharType="end"/>
      </w:r>
      <w:r>
        <w:rPr>
          <w:rFonts w:ascii="宋体" w:hAnsi="宋体"/>
          <w:b/>
          <w:sz w:val="30"/>
          <w:szCs w:val="30"/>
        </w:rPr>
        <w:fldChar w:fldCharType="end"/>
      </w:r>
    </w:p>
    <w:p>
      <w:pPr>
        <w:spacing w:line="800" w:lineRule="exact"/>
        <w:rPr>
          <w:rFonts w:ascii="宋体" w:hAnsi="宋体"/>
          <w:sz w:val="44"/>
          <w:szCs w:val="44"/>
        </w:rPr>
      </w:pPr>
      <w:r>
        <w:rPr>
          <w:rFonts w:ascii="宋体" w:hAnsi="宋体"/>
          <w:sz w:val="30"/>
          <w:szCs w:val="30"/>
        </w:rPr>
        <w:fldChar w:fldCharType="end"/>
      </w:r>
    </w:p>
    <w:p>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pPr>
        <w:autoSpaceDE w:val="0"/>
        <w:autoSpaceDN w:val="0"/>
        <w:adjustRightInd w:val="0"/>
        <w:spacing w:line="460" w:lineRule="exact"/>
        <w:jc w:val="center"/>
        <w:rPr>
          <w:rFonts w:ascii="黑体" w:eastAsia="黑体" w:cs="黑体"/>
          <w:b/>
          <w:sz w:val="44"/>
          <w:szCs w:val="44"/>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pPr>
              <w:spacing w:line="480" w:lineRule="exact"/>
              <w:jc w:val="left"/>
              <w:rPr>
                <w:rFonts w:ascii="宋体" w:hAnsi="宋体" w:cs="宋体"/>
                <w:kern w:val="0"/>
                <w:sz w:val="24"/>
              </w:rPr>
            </w:pPr>
            <w:r>
              <w:rPr>
                <w:rFonts w:hint="eastAsia" w:ascii="宋体" w:hAnsi="宋体" w:cs="宋体"/>
                <w:kern w:val="0"/>
                <w:sz w:val="24"/>
              </w:rPr>
              <w:t>项目概况</w:t>
            </w:r>
          </w:p>
          <w:p>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盐城师范学院2024年春学期食堂大宗食材（猪肉及猪副产品）采购项目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2024年1月30日上午9点00分（北京时间）</w:t>
            </w:r>
            <w:r>
              <w:rPr>
                <w:rFonts w:hint="eastAsia" w:ascii="宋体" w:hAnsi="宋体" w:cs="宋体"/>
                <w:kern w:val="0"/>
                <w:sz w:val="24"/>
              </w:rPr>
              <w:t>前递交投标文件。</w:t>
            </w:r>
          </w:p>
        </w:tc>
      </w:tr>
    </w:tbl>
    <w:p>
      <w:pPr>
        <w:spacing w:line="480" w:lineRule="exact"/>
        <w:ind w:firstLine="482" w:firstLineChars="200"/>
        <w:rPr>
          <w:rFonts w:ascii="宋体" w:hAnsi="宋体" w:cs="宋体"/>
          <w:b/>
          <w:kern w:val="0"/>
          <w:sz w:val="24"/>
          <w:szCs w:val="24"/>
        </w:rPr>
      </w:pP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pPr>
        <w:autoSpaceDE w:val="0"/>
        <w:autoSpaceDN w:val="0"/>
        <w:adjustRightInd w:val="0"/>
        <w:spacing w:line="70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YSHQ2024-ZB-0106 ；</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盐城师范学院2024年春学期食堂大宗食材（猪肉及猪副产品）采购项目 </w:t>
      </w:r>
      <w:r>
        <w:rPr>
          <w:rFonts w:hint="eastAsia" w:ascii="宋体" w:hAnsi="宋体" w:cs="Dotum"/>
          <w:kern w:val="0"/>
          <w:sz w:val="24"/>
          <w:szCs w:val="24"/>
        </w:rPr>
        <w:t>；</w:t>
      </w:r>
    </w:p>
    <w:p>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2024年2月20日至2024年8月25日；</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5.本项目不接受进口产品参与投标。</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pPr>
        <w:spacing w:line="480" w:lineRule="exact"/>
        <w:ind w:firstLine="480" w:firstLineChars="200"/>
        <w:rPr>
          <w:rFonts w:ascii="宋体" w:hAnsi="宋体"/>
          <w:bCs/>
          <w:sz w:val="24"/>
          <w:szCs w:val="24"/>
        </w:rPr>
      </w:pPr>
      <w:r>
        <w:rPr>
          <w:rFonts w:hint="eastAsia" w:ascii="宋体" w:hAnsi="宋体"/>
          <w:bCs/>
          <w:sz w:val="24"/>
          <w:szCs w:val="24"/>
        </w:rPr>
        <w:t>（2）投标人为生产企业，应提交的资格材料：动物防疫合格证（或“动物防疫条件合格证”）复印件；生猪定点屠宰证书复印件（加盖单位公章）；食品生产许可证复印件。</w:t>
      </w:r>
    </w:p>
    <w:p>
      <w:pPr>
        <w:spacing w:line="480" w:lineRule="exact"/>
        <w:ind w:firstLine="480" w:firstLineChars="200"/>
        <w:rPr>
          <w:rFonts w:ascii="宋体" w:hAnsi="宋体"/>
          <w:bCs/>
          <w:sz w:val="24"/>
          <w:szCs w:val="24"/>
        </w:rPr>
      </w:pPr>
      <w:r>
        <w:rPr>
          <w:rFonts w:hint="eastAsia" w:ascii="宋体" w:hAnsi="宋体"/>
          <w:bCs/>
          <w:sz w:val="24"/>
          <w:szCs w:val="24"/>
        </w:rPr>
        <w:t>投标人为代理商或经销商，除提交代理或经销品牌产品生产企业资格材料外，还应提交代理商或经销商授权书复印件、食品经营许可证复印件。</w:t>
      </w:r>
    </w:p>
    <w:p>
      <w:pPr>
        <w:spacing w:line="480" w:lineRule="exact"/>
        <w:ind w:firstLine="480" w:firstLineChars="200"/>
        <w:rPr>
          <w:rFonts w:ascii="宋体" w:hAnsi="宋体"/>
          <w:bCs/>
          <w:sz w:val="24"/>
          <w:szCs w:val="24"/>
        </w:rPr>
      </w:pPr>
      <w:r>
        <w:rPr>
          <w:rFonts w:hint="eastAsia" w:ascii="宋体" w:hAnsi="宋体"/>
          <w:bCs/>
          <w:sz w:val="24"/>
          <w:szCs w:val="24"/>
        </w:rPr>
        <w:t>（3）未被“信用中国”网站（www.creditchina.gov.cn）列入失信被执行人、重大税收违法案件当事人名单、政府采购严重失信行为记录名单。</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：2024年1月30日上午8：30-9：00；盐城师范学院新长校区后勤综合楼二楼会议室。</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2.开标时间和地点：</w:t>
      </w:r>
      <w:r>
        <w:rPr>
          <w:rFonts w:hint="eastAsia" w:ascii="宋体" w:hAnsi="宋体" w:cs="宋体"/>
          <w:kern w:val="0"/>
          <w:sz w:val="24"/>
          <w:szCs w:val="24"/>
          <w:u w:val="single"/>
        </w:rPr>
        <w:t>2024年1月30日上午9：00；盐城师范学院新长校区后勤综合楼三楼招标会议室。</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pPr>
        <w:spacing w:line="480" w:lineRule="exact"/>
        <w:ind w:firstLine="480" w:firstLineChars="200"/>
        <w:rPr>
          <w:rFonts w:ascii="宋体" w:hAnsi="宋体" w:cs="宋体"/>
          <w:kern w:val="0"/>
          <w:sz w:val="24"/>
          <w:szCs w:val="24"/>
        </w:rPr>
      </w:pPr>
      <w:bookmarkStart w:id="1" w:name="_Toc35393796"/>
      <w:bookmarkStart w:id="2" w:name="_Toc28359008"/>
      <w:bookmarkStart w:id="3" w:name="_Toc28359085"/>
      <w:bookmarkStart w:id="4" w:name="_Toc35393627"/>
      <w:r>
        <w:rPr>
          <w:rFonts w:hint="eastAsia" w:ascii="宋体" w:hAnsi="宋体" w:cs="宋体"/>
          <w:kern w:val="0"/>
          <w:sz w:val="24"/>
          <w:szCs w:val="24"/>
        </w:rPr>
        <w:t>本项目不收取投标保证金。</w:t>
      </w:r>
    </w:p>
    <w:p>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郑老师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bCs/>
          <w:kern w:val="0"/>
          <w:sz w:val="24"/>
          <w:szCs w:val="24"/>
          <w:u w:val="single"/>
        </w:rPr>
        <w:t>13805102273</w:t>
      </w:r>
      <w:r>
        <w:rPr>
          <w:rFonts w:hint="eastAsia" w:ascii="宋体" w:hAnsi="宋体" w:cs="宋体"/>
          <w:kern w:val="0"/>
          <w:sz w:val="24"/>
          <w:szCs w:val="24"/>
          <w:u w:val="single"/>
        </w:rPr>
        <w:t xml:space="preserve">  </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潘老师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18752220058</w:t>
      </w:r>
      <w:r>
        <w:rPr>
          <w:rFonts w:hint="eastAsia" w:ascii="宋体" w:hAnsi="宋体" w:cs="Dotum"/>
          <w:kern w:val="0"/>
          <w:sz w:val="24"/>
          <w:szCs w:val="24"/>
          <w:u w:val="single"/>
        </w:rPr>
        <w:t xml:space="preserve">  </w:t>
      </w:r>
    </w:p>
    <w:p>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相关工作人员处进行信息实名登记，进入校园后须全程佩戴口罩。</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pPr>
        <w:spacing w:line="480" w:lineRule="exact"/>
        <w:ind w:firstLine="480" w:firstLineChars="200"/>
        <w:rPr>
          <w:rFonts w:ascii="宋体" w:hAnsi="宋体" w:cs="宋体"/>
          <w:kern w:val="0"/>
          <w:sz w:val="24"/>
          <w:szCs w:val="24"/>
        </w:rPr>
      </w:pPr>
    </w:p>
    <w:p>
      <w:pPr>
        <w:spacing w:line="480" w:lineRule="exact"/>
        <w:ind w:firstLine="480" w:firstLineChars="200"/>
        <w:rPr>
          <w:rFonts w:ascii="宋体" w:hAnsi="宋体" w:cs="宋体"/>
          <w:kern w:val="0"/>
          <w:sz w:val="24"/>
          <w:szCs w:val="24"/>
        </w:rPr>
      </w:pPr>
    </w:p>
    <w:p>
      <w:pPr>
        <w:snapToGrid w:val="0"/>
        <w:spacing w:line="480" w:lineRule="exact"/>
        <w:rPr>
          <w:rStyle w:val="41"/>
          <w:rFonts w:ascii="宋体"/>
          <w:sz w:val="24"/>
        </w:rPr>
      </w:pPr>
      <w:r>
        <w:rPr>
          <w:rStyle w:val="41"/>
          <w:rFonts w:hint="eastAsia" w:ascii="宋体" w:hAnsi="宋体"/>
          <w:sz w:val="24"/>
        </w:rPr>
        <w:t xml:space="preserve">                                               </w:t>
      </w:r>
      <w:r>
        <w:rPr>
          <w:rStyle w:val="41"/>
          <w:rFonts w:ascii="宋体" w:hAnsi="宋体"/>
          <w:sz w:val="24"/>
        </w:rPr>
        <w:t>盐城师范学院</w:t>
      </w:r>
    </w:p>
    <w:p>
      <w:pPr>
        <w:spacing w:line="480" w:lineRule="exact"/>
        <w:ind w:firstLine="5520" w:firstLineChars="2300"/>
        <w:rPr>
          <w:rStyle w:val="41"/>
          <w:rFonts w:ascii="宋体" w:hAnsi="宋体"/>
          <w:sz w:val="24"/>
        </w:rPr>
      </w:pPr>
      <w:r>
        <w:rPr>
          <w:rStyle w:val="41"/>
          <w:rFonts w:hint="eastAsia" w:ascii="宋体" w:hAnsi="宋体"/>
          <w:sz w:val="24"/>
        </w:rPr>
        <w:t>2024年1月</w:t>
      </w:r>
      <w:r>
        <w:rPr>
          <w:rStyle w:val="41"/>
          <w:rFonts w:hint="eastAsia" w:ascii="宋体" w:hAnsi="宋体"/>
          <w:sz w:val="24"/>
          <w:lang w:val="en-US" w:eastAsia="zh-CN"/>
        </w:rPr>
        <w:t>9</w:t>
      </w:r>
      <w:r>
        <w:rPr>
          <w:rStyle w:val="41"/>
          <w:rFonts w:hint="eastAsia" w:ascii="宋体" w:hAnsi="宋体"/>
          <w:sz w:val="24"/>
        </w:rPr>
        <w:t>日</w:t>
      </w:r>
    </w:p>
    <w:p>
      <w:pPr>
        <w:spacing w:line="460" w:lineRule="exact"/>
        <w:ind w:firstLine="480" w:firstLineChars="200"/>
        <w:rPr>
          <w:rFonts w:ascii="宋体" w:hAnsi="宋体"/>
          <w:sz w:val="24"/>
          <w:szCs w:val="24"/>
        </w:rPr>
      </w:pPr>
    </w:p>
    <w:p>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pPr>
        <w:autoSpaceDE w:val="0"/>
        <w:autoSpaceDN w:val="0"/>
        <w:adjustRightInd w:val="0"/>
        <w:spacing w:line="440" w:lineRule="exact"/>
        <w:rPr>
          <w:rFonts w:ascii="宋体" w:cs="宋体"/>
          <w:b/>
          <w:bCs/>
          <w:color w:val="FF0000"/>
          <w:sz w:val="32"/>
          <w:szCs w:val="32"/>
          <w:lang w:val="zh-CN"/>
        </w:rPr>
      </w:pPr>
    </w:p>
    <w:p>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pPr>
        <w:pageBreakBefore/>
        <w:spacing w:line="700" w:lineRule="exact"/>
        <w:jc w:val="center"/>
        <w:outlineLvl w:val="0"/>
        <w:rPr>
          <w:rFonts w:ascii="宋体" w:hAnsi="宋体"/>
          <w:b/>
          <w:color w:val="000000"/>
          <w:sz w:val="44"/>
          <w:szCs w:val="44"/>
        </w:rPr>
      </w:pPr>
      <w:bookmarkStart w:id="29" w:name="_Toc47629959"/>
      <w:bookmarkStart w:id="30" w:name="_Toc155527169"/>
      <w:bookmarkStart w:id="31" w:name="_Toc47629327"/>
      <w:r>
        <w:rPr>
          <w:rFonts w:hint="eastAsia" w:ascii="宋体" w:hAnsi="宋体"/>
          <w:b/>
          <w:color w:val="000000"/>
          <w:sz w:val="44"/>
          <w:szCs w:val="44"/>
        </w:rPr>
        <w:t>第三章  合同条款及格式</w:t>
      </w:r>
      <w:bookmarkEnd w:id="29"/>
      <w:bookmarkEnd w:id="30"/>
      <w:bookmarkEnd w:id="31"/>
    </w:p>
    <w:p>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pPr>
        <w:spacing w:line="480" w:lineRule="exact"/>
        <w:rPr>
          <w:rFonts w:ascii="宋体" w:hAnsi="宋体" w:cs="宋体"/>
          <w:sz w:val="24"/>
          <w:szCs w:val="24"/>
        </w:rPr>
      </w:pPr>
      <w:r>
        <w:rPr>
          <w:rFonts w:hint="eastAsia" w:ascii="宋体" w:hAnsi="宋体" w:cs="宋体"/>
          <w:sz w:val="24"/>
          <w:szCs w:val="24"/>
        </w:rPr>
        <w:t>甲方：盐城师范学院</w:t>
      </w:r>
    </w:p>
    <w:p>
      <w:pPr>
        <w:spacing w:line="480" w:lineRule="exact"/>
        <w:rPr>
          <w:rFonts w:ascii="宋体" w:hAnsi="宋体" w:cs="宋体"/>
          <w:sz w:val="24"/>
          <w:szCs w:val="24"/>
        </w:rPr>
      </w:pPr>
      <w:r>
        <w:rPr>
          <w:rFonts w:hint="eastAsia" w:ascii="宋体" w:hAnsi="宋体" w:cs="宋体"/>
          <w:sz w:val="24"/>
          <w:szCs w:val="24"/>
        </w:rPr>
        <w:t xml:space="preserve">乙方： </w:t>
      </w:r>
    </w:p>
    <w:p>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甲乙双方根据盐城师范学院2024年春学期食堂大宗食材（猪肉及猪副产品）采购项目公开招标的结果，签署本合同。</w:t>
      </w:r>
    </w:p>
    <w:p>
      <w:pPr>
        <w:spacing w:line="480" w:lineRule="exact"/>
        <w:ind w:firstLine="480" w:firstLineChars="200"/>
        <w:rPr>
          <w:rFonts w:ascii="宋体" w:hAnsi="宋体" w:cs="宋体"/>
          <w:sz w:val="24"/>
          <w:szCs w:val="24"/>
        </w:rPr>
      </w:pPr>
      <w:r>
        <w:rPr>
          <w:rFonts w:hint="eastAsia" w:ascii="宋体" w:hAnsi="宋体" w:cs="宋体"/>
          <w:sz w:val="24"/>
          <w:szCs w:val="24"/>
        </w:rPr>
        <w:t>一、货物名称：猪肉及猪副产品</w:t>
      </w:r>
    </w:p>
    <w:p>
      <w:pPr>
        <w:spacing w:line="480" w:lineRule="exact"/>
        <w:ind w:firstLine="480" w:firstLineChars="200"/>
        <w:rPr>
          <w:rFonts w:ascii="宋体" w:hAnsi="宋体" w:cs="宋体"/>
          <w:sz w:val="24"/>
          <w:szCs w:val="24"/>
        </w:rPr>
      </w:pPr>
      <w:r>
        <w:rPr>
          <w:rFonts w:hint="eastAsia" w:ascii="宋体" w:hAnsi="宋体" w:cs="宋体"/>
          <w:sz w:val="24"/>
          <w:szCs w:val="24"/>
        </w:rPr>
        <w:t>二、合同期限：2024年2月20日至2024年8月25日。</w:t>
      </w:r>
    </w:p>
    <w:p>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1.乙方应严格遵守《中华人民共和国食品安全法》及其他法律法规的有关规定，确保所供猪肉及猪副产品质量符合国家相关产品质量标准GB/T 9959.3-2019，符合国家各级强制性规范的要求；</w:t>
      </w:r>
    </w:p>
    <w:p>
      <w:pPr>
        <w:spacing w:line="480" w:lineRule="exact"/>
        <w:ind w:firstLine="480" w:firstLineChars="200"/>
        <w:rPr>
          <w:rFonts w:ascii="宋体" w:hAnsi="宋体" w:cs="宋体"/>
          <w:sz w:val="24"/>
          <w:szCs w:val="24"/>
        </w:rPr>
      </w:pPr>
      <w:r>
        <w:rPr>
          <w:rFonts w:hint="eastAsia" w:ascii="宋体" w:hAnsi="宋体" w:cs="宋体"/>
          <w:sz w:val="24"/>
          <w:szCs w:val="24"/>
        </w:rPr>
        <w:t>2.所供货物必须为冷鲜肉，具有新鲜猪肉应有的香味，无异味，不添加人工色素；</w:t>
      </w:r>
    </w:p>
    <w:p>
      <w:pPr>
        <w:spacing w:line="480" w:lineRule="exact"/>
        <w:ind w:firstLine="480" w:firstLineChars="200"/>
        <w:rPr>
          <w:rFonts w:ascii="宋体" w:hAnsi="宋体" w:cs="宋体"/>
          <w:sz w:val="24"/>
          <w:szCs w:val="24"/>
        </w:rPr>
      </w:pPr>
      <w:r>
        <w:rPr>
          <w:rFonts w:hint="eastAsia" w:ascii="宋体" w:hAnsi="宋体" w:cs="宋体"/>
          <w:sz w:val="24"/>
          <w:szCs w:val="24"/>
        </w:rPr>
        <w:t>3．提供每批次《动物检疫合格证》；</w:t>
      </w:r>
    </w:p>
    <w:p>
      <w:pPr>
        <w:spacing w:line="480" w:lineRule="exact"/>
        <w:ind w:firstLine="480" w:firstLineChars="200"/>
        <w:rPr>
          <w:rFonts w:ascii="宋体" w:hAnsi="宋体" w:cs="宋体"/>
          <w:sz w:val="24"/>
          <w:szCs w:val="24"/>
        </w:rPr>
      </w:pPr>
      <w:r>
        <w:rPr>
          <w:rFonts w:hint="eastAsia" w:ascii="宋体" w:hAnsi="宋体" w:cs="宋体"/>
          <w:sz w:val="24"/>
          <w:szCs w:val="24"/>
        </w:rPr>
        <w:t>4．供货时需提供本产品合格检测报告。</w:t>
      </w:r>
    </w:p>
    <w:p>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pPr>
        <w:spacing w:line="480" w:lineRule="exact"/>
        <w:ind w:firstLine="480" w:firstLineChars="200"/>
        <w:rPr>
          <w:rFonts w:ascii="宋体" w:hAnsi="宋体" w:cs="宋体"/>
          <w:b/>
          <w:color w:val="000000"/>
          <w:kern w:val="0"/>
          <w:sz w:val="24"/>
          <w:szCs w:val="24"/>
        </w:rPr>
      </w:pPr>
      <w:r>
        <w:rPr>
          <w:rFonts w:hint="eastAsia" w:ascii="宋体" w:hAnsi="宋体" w:cs="宋体"/>
          <w:kern w:val="0"/>
          <w:sz w:val="24"/>
          <w:szCs w:val="24"/>
        </w:rPr>
        <w:t>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pPr>
        <w:spacing w:line="480" w:lineRule="exact"/>
        <w:ind w:firstLine="480" w:firstLineChars="200"/>
        <w:rPr>
          <w:rFonts w:ascii="宋体" w:hAnsi="宋体" w:cs="宋体"/>
          <w:sz w:val="24"/>
          <w:szCs w:val="24"/>
        </w:rPr>
      </w:pPr>
      <w:r>
        <w:rPr>
          <w:rFonts w:hint="eastAsia" w:ascii="宋体" w:hAnsi="宋体" w:cs="宋体"/>
          <w:sz w:val="24"/>
          <w:szCs w:val="24"/>
        </w:rPr>
        <w:t>五、货物配送与验收</w:t>
      </w:r>
    </w:p>
    <w:p>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w:t>
      </w:r>
    </w:p>
    <w:p>
      <w:pPr>
        <w:spacing w:line="480" w:lineRule="exact"/>
        <w:ind w:firstLine="480" w:firstLineChars="200"/>
        <w:rPr>
          <w:rFonts w:ascii="宋体" w:hAnsi="宋体" w:cs="宋体"/>
          <w:sz w:val="24"/>
          <w:szCs w:val="24"/>
        </w:rPr>
      </w:pPr>
      <w:r>
        <w:rPr>
          <w:rFonts w:hint="eastAsia" w:ascii="宋体" w:hAnsi="宋体" w:cs="宋体"/>
          <w:sz w:val="24"/>
          <w:szCs w:val="24"/>
        </w:rPr>
        <w:t>2.送货时间：定货次日早上7点之前。</w:t>
      </w:r>
    </w:p>
    <w:p>
      <w:pPr>
        <w:spacing w:line="480" w:lineRule="exact"/>
        <w:ind w:firstLine="480" w:firstLineChars="200"/>
        <w:rPr>
          <w:rFonts w:ascii="宋体" w:hAnsi="宋体" w:cs="宋体"/>
          <w:sz w:val="24"/>
          <w:szCs w:val="24"/>
        </w:rPr>
      </w:pPr>
      <w:r>
        <w:rPr>
          <w:rFonts w:hint="eastAsia" w:ascii="宋体" w:hAnsi="宋体" w:cs="宋体"/>
          <w:sz w:val="24"/>
          <w:szCs w:val="24"/>
        </w:rPr>
        <w:t>3.分装要求：乙方按甲方采供系统平台开放的采购账号（数量在40个左右）出具的申请单进行货物分装。</w:t>
      </w:r>
    </w:p>
    <w:p>
      <w:pPr>
        <w:spacing w:line="480" w:lineRule="exact"/>
        <w:ind w:firstLine="480" w:firstLineChars="200"/>
        <w:rPr>
          <w:rFonts w:ascii="宋体" w:hAnsi="宋体" w:cs="宋体"/>
          <w:sz w:val="24"/>
          <w:szCs w:val="24"/>
        </w:rPr>
      </w:pPr>
      <w:r>
        <w:rPr>
          <w:rFonts w:hint="eastAsia" w:ascii="宋体" w:hAnsi="宋体" w:cs="宋体"/>
          <w:sz w:val="24"/>
          <w:szCs w:val="24"/>
        </w:rPr>
        <w:t>4.货物配送费用由乙方自行承担。</w:t>
      </w:r>
    </w:p>
    <w:p>
      <w:pPr>
        <w:spacing w:line="480" w:lineRule="exact"/>
        <w:ind w:firstLine="480" w:firstLineChars="200"/>
        <w:rPr>
          <w:rFonts w:ascii="宋体" w:hAnsi="宋体" w:cs="宋体"/>
          <w:sz w:val="24"/>
          <w:szCs w:val="24"/>
        </w:rPr>
      </w:pPr>
      <w:r>
        <w:rPr>
          <w:rFonts w:hint="eastAsia" w:ascii="宋体" w:hAnsi="宋体" w:cs="宋体"/>
          <w:sz w:val="24"/>
          <w:szCs w:val="24"/>
        </w:rPr>
        <w:t>5.原包装产品交付时必须保证相关标识等各方面完好无损，否则甲方有权拒收。</w:t>
      </w:r>
    </w:p>
    <w:p>
      <w:pPr>
        <w:spacing w:line="480" w:lineRule="exact"/>
        <w:ind w:firstLine="480" w:firstLineChars="200"/>
        <w:rPr>
          <w:rFonts w:ascii="宋体" w:hAnsi="宋体" w:cs="宋体"/>
          <w:sz w:val="24"/>
          <w:szCs w:val="24"/>
        </w:rPr>
      </w:pPr>
      <w:r>
        <w:rPr>
          <w:rFonts w:hint="eastAsia" w:ascii="宋体" w:hAnsi="宋体" w:cs="宋体"/>
          <w:sz w:val="24"/>
          <w:szCs w:val="24"/>
        </w:rPr>
        <w:t>6.乙方运输工具进入学校，必须接受学校的统一管理，发生任何人员与设施损伤，均由乙方承担责任。</w:t>
      </w:r>
    </w:p>
    <w:p>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乙方每批次提供的货物，必须经甲方采供中心、餐饮服务中心验收人员联合验收合格并签单后才能视为有效，否则均视为无效供货。</w:t>
      </w:r>
    </w:p>
    <w:p>
      <w:pPr>
        <w:spacing w:line="480" w:lineRule="exact"/>
        <w:ind w:firstLine="480" w:firstLineChars="200"/>
        <w:rPr>
          <w:rFonts w:ascii="宋体" w:hAnsi="宋体" w:cs="宋体"/>
          <w:sz w:val="24"/>
          <w:szCs w:val="24"/>
        </w:rPr>
      </w:pPr>
      <w:r>
        <w:rPr>
          <w:rFonts w:hint="eastAsia" w:ascii="宋体" w:hAnsi="宋体" w:cs="宋体"/>
          <w:sz w:val="24"/>
          <w:szCs w:val="24"/>
        </w:rPr>
        <w:t>七、供货品种及价格</w:t>
      </w:r>
    </w:p>
    <w:p>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bCs/>
          <w:kern w:val="0"/>
          <w:sz w:val="24"/>
        </w:rPr>
        <w:t xml:space="preserve"> 凌家塘猪肉品</w:t>
      </w:r>
      <w:r>
        <w:rPr>
          <w:rFonts w:hint="eastAsia" w:ascii="宋体" w:hAnsi="宋体" w:cs="宋体"/>
          <w:sz w:val="24"/>
          <w:szCs w:val="24"/>
        </w:rPr>
        <w:t>首次供货价格以2024年2月19日（以实际供货时间前一日）江苏凌家塘市场发展有限公司网站公布的凌家塘市场“荤食”区鲜猪肉产品最底价*（1+乙方中标费率（浮动率    %））向甲方供应符合国家检验检疫标准的优质新鲜猪肉。之后每月1号、15号为下半月询价、定价日。如遇定价日网站未更新价格或没有的品种等特殊情况则以前一日的价格定价，向甲方供应符合国家检验检疫标准的优质新鲜猪肉。</w:t>
      </w:r>
    </w:p>
    <w:p>
      <w:pPr>
        <w:spacing w:line="480" w:lineRule="exact"/>
        <w:ind w:firstLine="480" w:firstLineChars="200"/>
        <w:rPr>
          <w:rFonts w:ascii="宋体" w:hAnsi="宋体" w:cs="宋体"/>
          <w:sz w:val="24"/>
          <w:szCs w:val="24"/>
        </w:rPr>
      </w:pPr>
      <w:r>
        <w:rPr>
          <w:rFonts w:hint="eastAsia" w:ascii="宋体" w:hAnsi="宋体" w:cs="宋体"/>
          <w:sz w:val="24"/>
          <w:szCs w:val="24"/>
        </w:rPr>
        <w:t>2.其他猪肉产品以固定单价向甲方供应符合国家检验检疫标准的优质新鲜猪肉，供货期内价格不调整，具体价格详见下表：</w:t>
      </w:r>
    </w:p>
    <w:tbl>
      <w:tblPr>
        <w:tblStyle w:val="19"/>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6"/>
        <w:gridCol w:w="2928"/>
        <w:gridCol w:w="2308"/>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pPr>
              <w:adjustRightInd w:val="0"/>
              <w:snapToGrid w:val="0"/>
              <w:jc w:val="center"/>
              <w:rPr>
                <w:rFonts w:ascii="宋体" w:hAnsi="宋体" w:cs="楷体"/>
                <w:sz w:val="24"/>
                <w:szCs w:val="24"/>
              </w:rPr>
            </w:pPr>
            <w:r>
              <w:rPr>
                <w:rFonts w:hint="eastAsia" w:ascii="宋体" w:hAnsi="宋体" w:cs="楷体"/>
                <w:sz w:val="24"/>
                <w:szCs w:val="24"/>
              </w:rPr>
              <w:t>序号</w:t>
            </w:r>
          </w:p>
        </w:tc>
        <w:tc>
          <w:tcPr>
            <w:tcW w:w="2928"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品名</w:t>
            </w:r>
          </w:p>
        </w:tc>
        <w:tc>
          <w:tcPr>
            <w:tcW w:w="2308" w:type="dxa"/>
            <w:vAlign w:val="center"/>
          </w:tcPr>
          <w:p>
            <w:pPr>
              <w:adjustRightInd w:val="0"/>
              <w:snapToGrid w:val="0"/>
              <w:jc w:val="center"/>
              <w:rPr>
                <w:rFonts w:ascii="宋体" w:hAnsi="宋体" w:cs="楷体"/>
                <w:sz w:val="24"/>
                <w:szCs w:val="24"/>
              </w:rPr>
            </w:pPr>
            <w:r>
              <w:rPr>
                <w:rFonts w:hint="eastAsia" w:ascii="宋体" w:hAnsi="宋体" w:cs="楷体"/>
                <w:sz w:val="24"/>
                <w:szCs w:val="24"/>
              </w:rPr>
              <w:t>计量单位</w:t>
            </w:r>
          </w:p>
        </w:tc>
        <w:tc>
          <w:tcPr>
            <w:tcW w:w="2926" w:type="dxa"/>
            <w:vAlign w:val="center"/>
          </w:tcPr>
          <w:p>
            <w:pPr>
              <w:adjustRightInd w:val="0"/>
              <w:snapToGrid w:val="0"/>
              <w:jc w:val="center"/>
              <w:rPr>
                <w:rFonts w:ascii="宋体" w:hAnsi="宋体" w:cs="楷体"/>
                <w:sz w:val="24"/>
                <w:szCs w:val="24"/>
              </w:rPr>
            </w:pPr>
            <w:r>
              <w:rPr>
                <w:rFonts w:hint="eastAsia" w:ascii="宋体" w:hAnsi="宋体" w:cs="楷体"/>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pPr>
              <w:adjustRightInd w:val="0"/>
              <w:snapToGrid w:val="0"/>
              <w:jc w:val="center"/>
              <w:rPr>
                <w:rFonts w:ascii="宋体" w:hAnsi="宋体" w:cs="楷体"/>
                <w:sz w:val="24"/>
                <w:szCs w:val="24"/>
              </w:rPr>
            </w:pPr>
            <w:r>
              <w:rPr>
                <w:rFonts w:hint="eastAsia" w:ascii="宋体" w:hAnsi="宋体" w:cs="楷体"/>
                <w:sz w:val="24"/>
                <w:szCs w:val="24"/>
              </w:rPr>
              <w:t>1</w:t>
            </w:r>
          </w:p>
        </w:tc>
        <w:tc>
          <w:tcPr>
            <w:tcW w:w="2928"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猪肝</w:t>
            </w:r>
          </w:p>
        </w:tc>
        <w:tc>
          <w:tcPr>
            <w:tcW w:w="2308" w:type="dxa"/>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pPr>
              <w:adjustRightInd w:val="0"/>
              <w:snapToGrid w:val="0"/>
              <w:jc w:val="center"/>
              <w:rPr>
                <w:rFonts w:ascii="宋体" w:hAnsi="宋体" w:cs="楷体"/>
                <w:sz w:val="24"/>
                <w:szCs w:val="24"/>
              </w:rPr>
            </w:pPr>
            <w:r>
              <w:rPr>
                <w:rFonts w:hint="eastAsia" w:ascii="宋体" w:hAnsi="宋体" w:cs="楷体"/>
                <w:sz w:val="24"/>
                <w:szCs w:val="24"/>
              </w:rPr>
              <w:t>2</w:t>
            </w:r>
          </w:p>
        </w:tc>
        <w:tc>
          <w:tcPr>
            <w:tcW w:w="2928"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板油</w:t>
            </w:r>
          </w:p>
        </w:tc>
        <w:tc>
          <w:tcPr>
            <w:tcW w:w="2308" w:type="dxa"/>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pPr>
              <w:adjustRightInd w:val="0"/>
              <w:snapToGrid w:val="0"/>
              <w:jc w:val="center"/>
              <w:rPr>
                <w:rFonts w:ascii="宋体" w:hAnsi="宋体" w:cs="楷体"/>
                <w:sz w:val="24"/>
                <w:szCs w:val="24"/>
              </w:rPr>
            </w:pPr>
            <w:r>
              <w:rPr>
                <w:rFonts w:hint="eastAsia" w:ascii="宋体" w:hAnsi="宋体" w:cs="楷体"/>
                <w:sz w:val="24"/>
                <w:szCs w:val="24"/>
              </w:rPr>
              <w:t>3</w:t>
            </w:r>
          </w:p>
        </w:tc>
        <w:tc>
          <w:tcPr>
            <w:tcW w:w="2928"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鲜筒子骨</w:t>
            </w:r>
          </w:p>
        </w:tc>
        <w:tc>
          <w:tcPr>
            <w:tcW w:w="2308" w:type="dxa"/>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426" w:type="dxa"/>
            <w:vAlign w:val="center"/>
          </w:tcPr>
          <w:p>
            <w:pPr>
              <w:adjustRightInd w:val="0"/>
              <w:snapToGrid w:val="0"/>
              <w:jc w:val="center"/>
              <w:rPr>
                <w:rFonts w:ascii="宋体" w:hAnsi="宋体" w:cs="楷体"/>
                <w:sz w:val="24"/>
                <w:szCs w:val="24"/>
              </w:rPr>
            </w:pPr>
            <w:r>
              <w:rPr>
                <w:rFonts w:hint="eastAsia" w:ascii="宋体" w:hAnsi="宋体" w:cs="楷体"/>
                <w:sz w:val="24"/>
                <w:szCs w:val="24"/>
              </w:rPr>
              <w:t>4</w:t>
            </w:r>
          </w:p>
        </w:tc>
        <w:tc>
          <w:tcPr>
            <w:tcW w:w="2928"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鲜杂骨</w:t>
            </w:r>
          </w:p>
        </w:tc>
        <w:tc>
          <w:tcPr>
            <w:tcW w:w="2308" w:type="dxa"/>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2926" w:type="dxa"/>
            <w:vAlign w:val="center"/>
          </w:tcPr>
          <w:p>
            <w:pPr>
              <w:adjustRightInd w:val="0"/>
              <w:snapToGrid w:val="0"/>
              <w:jc w:val="center"/>
              <w:rPr>
                <w:rFonts w:ascii="宋体" w:hAnsi="宋体" w:cs="楷体"/>
                <w:sz w:val="24"/>
                <w:szCs w:val="24"/>
              </w:rPr>
            </w:pPr>
          </w:p>
        </w:tc>
      </w:tr>
    </w:tbl>
    <w:p>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pPr>
        <w:spacing w:line="480" w:lineRule="exact"/>
        <w:ind w:firstLine="480" w:firstLineChars="200"/>
        <w:rPr>
          <w:rFonts w:ascii="宋体" w:hAnsi="宋体" w:cs="宋体"/>
          <w:sz w:val="24"/>
          <w:szCs w:val="24"/>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p>
    <w:p>
      <w:pPr>
        <w:spacing w:line="480" w:lineRule="exact"/>
        <w:ind w:firstLine="480" w:firstLineChars="200"/>
        <w:rPr>
          <w:rFonts w:ascii="宋体" w:hAnsi="宋体" w:cs="宋体"/>
          <w:sz w:val="24"/>
          <w:szCs w:val="24"/>
        </w:rPr>
      </w:pPr>
      <w:r>
        <w:rPr>
          <w:rFonts w:hint="eastAsia" w:ascii="宋体" w:hAnsi="宋体" w:cs="宋体"/>
          <w:sz w:val="24"/>
          <w:szCs w:val="24"/>
        </w:rPr>
        <w:t>九、违约责任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（4）掺假、掺杂、伪造，影响营养、卫生的； </w:t>
      </w:r>
    </w:p>
    <w:p>
      <w:pPr>
        <w:spacing w:line="480" w:lineRule="exact"/>
        <w:ind w:firstLine="480" w:firstLineChars="200"/>
        <w:rPr>
          <w:rFonts w:ascii="宋体" w:hAnsi="宋体" w:cs="宋体"/>
          <w:sz w:val="24"/>
          <w:szCs w:val="24"/>
        </w:rPr>
      </w:pPr>
      <w:r>
        <w:rPr>
          <w:rFonts w:hint="eastAsia" w:ascii="宋体" w:hAnsi="宋体" w:cs="宋体"/>
          <w:sz w:val="24"/>
          <w:szCs w:val="24"/>
        </w:rPr>
        <w:t>（5）供应货物故意串规、定量包装批量误差超过相关规定的；</w:t>
      </w:r>
    </w:p>
    <w:p>
      <w:pPr>
        <w:spacing w:line="480" w:lineRule="exact"/>
        <w:ind w:firstLine="480" w:firstLineChars="200"/>
        <w:rPr>
          <w:rFonts w:ascii="宋体" w:hAnsi="宋体" w:cs="宋体"/>
          <w:sz w:val="24"/>
          <w:szCs w:val="24"/>
        </w:rPr>
      </w:pPr>
      <w:r>
        <w:rPr>
          <w:rFonts w:hint="eastAsia" w:ascii="宋体" w:hAnsi="宋体" w:cs="宋体"/>
          <w:sz w:val="24"/>
          <w:szCs w:val="24"/>
        </w:rPr>
        <w:t>（6）超过保质期限的。</w:t>
      </w:r>
    </w:p>
    <w:p>
      <w:pPr>
        <w:spacing w:line="480" w:lineRule="exact"/>
        <w:ind w:firstLine="480" w:firstLineChars="200"/>
        <w:rPr>
          <w:rFonts w:ascii="宋体" w:hAnsi="宋体" w:cs="宋体"/>
          <w:sz w:val="24"/>
          <w:szCs w:val="24"/>
        </w:rPr>
      </w:pPr>
      <w:r>
        <w:rPr>
          <w:rFonts w:hint="eastAsia" w:ascii="宋体" w:hAnsi="宋体" w:cs="宋体"/>
          <w:sz w:val="24"/>
          <w:szCs w:val="24"/>
        </w:rPr>
        <w:t>2.乙方应严格按招标文件规定的质量标准进行供货。甲方将退回不达标货物,并扣收履约保证金200—2000元/次, 出现以上质量问题3次的，甲方有权单方面终止合同。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pPr>
        <w:spacing w:line="480" w:lineRule="exact"/>
        <w:ind w:firstLine="480" w:firstLineChars="200"/>
        <w:rPr>
          <w:rFonts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pPr>
        <w:spacing w:line="480" w:lineRule="exact"/>
        <w:ind w:firstLine="480" w:firstLineChars="200"/>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pPr>
        <w:spacing w:line="480" w:lineRule="exact"/>
        <w:ind w:firstLine="480" w:firstLineChars="200"/>
        <w:rPr>
          <w:rFonts w:ascii="宋体" w:hAnsi="宋体" w:cs="宋体"/>
          <w:sz w:val="24"/>
          <w:szCs w:val="24"/>
        </w:rPr>
      </w:pPr>
      <w:r>
        <w:rPr>
          <w:rFonts w:hint="eastAsia" w:ascii="宋体" w:hAnsi="宋体" w:cs="宋体"/>
          <w:sz w:val="24"/>
          <w:szCs w:val="24"/>
        </w:rPr>
        <w:t>十、免除责任条款</w:t>
      </w:r>
    </w:p>
    <w:p>
      <w:pPr>
        <w:spacing w:line="480" w:lineRule="exact"/>
        <w:ind w:firstLine="480" w:firstLineChars="200"/>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由于国家政策的规定以及发生不可抗力原因造成甲、乙双方不能履行合同，双方均不承担违约责任（不可抗力的范围按照民法通则的解释）。</w:t>
      </w:r>
    </w:p>
    <w:p>
      <w:pPr>
        <w:spacing w:line="480" w:lineRule="exact"/>
        <w:ind w:firstLine="480" w:firstLineChars="200"/>
        <w:rPr>
          <w:rFonts w:ascii="宋体" w:hAnsi="宋体" w:cs="宋体"/>
          <w:sz w:val="24"/>
          <w:szCs w:val="24"/>
        </w:rPr>
      </w:pPr>
      <w:r>
        <w:rPr>
          <w:rFonts w:hint="eastAsia" w:ascii="宋体" w:hAnsi="宋体" w:cs="宋体"/>
          <w:sz w:val="24"/>
          <w:szCs w:val="24"/>
        </w:rPr>
        <w:t>十一、争议解决</w:t>
      </w:r>
    </w:p>
    <w:p>
      <w:pPr>
        <w:spacing w:line="480" w:lineRule="exact"/>
        <w:ind w:firstLine="480" w:firstLineChars="200"/>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2.因履行合同引起争议，甲、乙双方应首先通过协商解决，如果协商不能解决争议，则采取以下方式解决争议：</w:t>
      </w:r>
    </w:p>
    <w:p>
      <w:pPr>
        <w:spacing w:line="480" w:lineRule="exact"/>
        <w:ind w:firstLine="480" w:firstLineChars="200"/>
        <w:rPr>
          <w:rFonts w:ascii="宋体" w:hAnsi="宋体" w:cs="宋体"/>
          <w:sz w:val="24"/>
          <w:szCs w:val="24"/>
        </w:rPr>
      </w:pPr>
      <w:r>
        <w:rPr>
          <w:rFonts w:hint="eastAsia" w:ascii="宋体" w:hAnsi="宋体" w:cs="宋体"/>
          <w:sz w:val="24"/>
          <w:szCs w:val="24"/>
        </w:rPr>
        <w:t>（1）向甲方所在地有管辖权的人民法院提起诉讼；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（2）向盐城市仲裁委员会申请仲裁。</w:t>
      </w:r>
    </w:p>
    <w:p>
      <w:pPr>
        <w:spacing w:line="480" w:lineRule="exact"/>
        <w:ind w:firstLine="480" w:firstLineChars="200"/>
        <w:rPr>
          <w:rFonts w:ascii="宋体" w:hAnsi="宋体" w:cs="宋体"/>
          <w:sz w:val="24"/>
          <w:szCs w:val="24"/>
        </w:rPr>
      </w:pPr>
      <w:r>
        <w:rPr>
          <w:rFonts w:hint="eastAsia" w:ascii="宋体" w:hAnsi="宋体" w:cs="宋体"/>
          <w:sz w:val="24"/>
          <w:szCs w:val="24"/>
        </w:rPr>
        <w:t>3.在仲裁或诉讼期间，甲方有权另行选择供应商。</w:t>
      </w:r>
    </w:p>
    <w:p>
      <w:pPr>
        <w:spacing w:line="480" w:lineRule="exact"/>
        <w:ind w:firstLine="480" w:firstLineChars="200"/>
        <w:rPr>
          <w:rFonts w:ascii="宋体" w:hAnsi="宋体" w:cs="宋体"/>
          <w:sz w:val="24"/>
          <w:szCs w:val="24"/>
        </w:rPr>
      </w:pPr>
      <w:r>
        <w:rPr>
          <w:rFonts w:hint="eastAsia" w:ascii="宋体" w:hAnsi="宋体" w:cs="宋体"/>
          <w:sz w:val="24"/>
          <w:szCs w:val="24"/>
        </w:rPr>
        <w:t>十二、合同生效及其他</w:t>
      </w:r>
    </w:p>
    <w:p>
      <w:pPr>
        <w:spacing w:line="480" w:lineRule="exact"/>
        <w:ind w:firstLine="480" w:firstLineChars="200"/>
        <w:rPr>
          <w:rFonts w:ascii="宋体" w:hAnsi="宋体" w:cs="宋体"/>
          <w:sz w:val="24"/>
          <w:szCs w:val="24"/>
        </w:rPr>
      </w:pPr>
      <w:r>
        <w:rPr>
          <w:rFonts w:hint="eastAsia" w:ascii="宋体" w:hAnsi="宋体" w:cs="宋体"/>
          <w:sz w:val="24"/>
          <w:szCs w:val="24"/>
        </w:rPr>
        <w:t>合同经甲方、乙方代表签字盖章，一式4份，甲、乙双方各2份。</w:t>
      </w:r>
    </w:p>
    <w:p>
      <w:pPr>
        <w:spacing w:line="520" w:lineRule="exact"/>
        <w:ind w:left="561" w:leftChars="267"/>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甲方（盖章）：                     乙方（盖章）：</w:t>
      </w:r>
    </w:p>
    <w:p>
      <w:pPr>
        <w:spacing w:line="480" w:lineRule="exact"/>
        <w:ind w:firstLine="480" w:firstLineChars="200"/>
        <w:rPr>
          <w:rFonts w:ascii="宋体" w:hAnsi="宋体" w:cs="宋体"/>
          <w:sz w:val="24"/>
          <w:szCs w:val="24"/>
        </w:rPr>
      </w:pPr>
      <w:r>
        <w:rPr>
          <w:rFonts w:hint="eastAsia" w:ascii="宋体" w:hAnsi="宋体" w:cs="宋体"/>
          <w:sz w:val="24"/>
          <w:szCs w:val="24"/>
        </w:rPr>
        <w:t>代表签字：                         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年   月   日                       年   月   日  </w:t>
      </w:r>
    </w:p>
    <w:p>
      <w:pPr>
        <w:pStyle w:val="2"/>
        <w:pageBreakBefore/>
        <w:spacing w:line="700" w:lineRule="exact"/>
        <w:jc w:val="center"/>
        <w:rPr>
          <w:rFonts w:ascii="宋体" w:hAnsi="宋体"/>
          <w:b/>
          <w:bCs/>
          <w:sz w:val="44"/>
        </w:rPr>
      </w:pPr>
      <w:bookmarkStart w:id="32" w:name="_Toc155527170"/>
      <w:r>
        <w:rPr>
          <w:rFonts w:hint="eastAsia" w:ascii="宋体" w:hAnsi="宋体"/>
          <w:b/>
          <w:bCs/>
          <w:sz w:val="44"/>
        </w:rPr>
        <w:t>第四章  项目需求</w:t>
      </w:r>
      <w:bookmarkEnd w:id="32"/>
    </w:p>
    <w:p>
      <w:pPr>
        <w:spacing w:line="440" w:lineRule="exact"/>
        <w:jc w:val="center"/>
        <w:rPr>
          <w:rFonts w:ascii="宋体" w:hAnsi="宋体" w:cs="宋体"/>
          <w:b/>
          <w:sz w:val="32"/>
          <w:szCs w:val="32"/>
        </w:rPr>
      </w:pPr>
    </w:p>
    <w:p>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1、采购内容：猪肉及猪副产品；</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w:t>
      </w:r>
      <w:r>
        <w:rPr>
          <w:rFonts w:hint="eastAsia" w:ascii="宋体" w:hAnsi="宋体" w:cs="宋体"/>
          <w:spacing w:val="-14"/>
          <w:kern w:val="0"/>
          <w:sz w:val="24"/>
          <w:szCs w:val="24"/>
        </w:rPr>
        <w:t>本次招标鲜猪肉价格以江苏凌家塘市场发展有限公司</w:t>
      </w:r>
      <w:r>
        <w:rPr>
          <w:rFonts w:hint="eastAsia" w:ascii="宋体" w:hAnsi="宋体" w:cs="宋体"/>
          <w:kern w:val="0"/>
          <w:sz w:val="24"/>
          <w:szCs w:val="24"/>
        </w:rPr>
        <w:t>网站公布的凌家塘市场菜价公示；“荤食”区鲜猪肉产品最底价为依据填报浮动率。每月1号、15号为下半个月询价、定价日，如遇网上没有更新价格的特殊情况，则以前一日的价格定价或询价。定价日凌家塘市场菜价公示中没有的品种，则以前一日的价格定价。其他猪肉产品以固定价格向招标人供应符合国家检验检疫标准的优质新鲜猪肉。</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供货数量以高校后勤采供管理系统（http://211.65.1.76:9080/hq）每天下午四点生成的第二日供货订单为准。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猪肉产品:猪肉分割产品(鲜猪肉国家标准GB/T 9959.3-2019)</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如国家标准发生变化按最新标准执行，执行顺序为国家标准、行业标准、地方标准、企业标准。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1、所供货物应严格遵守《中华人民共和国食品安全法》及其他法律法规的有关规定，确保所供猪肉及猪副产品质量符合国家相关产品质量标准GB/T 9959.3-2019，符合国家各级强制性规范的要求。 </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2、投标人应按招标人计划要求，按本文件规定的品种、规格、质量提供成品食品原料。包装类食品产品送达日剩余保质期天数须大于产品总保质期2/3的天数，否则招标方有权拒绝收货。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所供货物必须为冷鲜肉，冷鲜肉是指严格执行兽医检疫制度，对屠宰后的畜胴体迅速进行冷却处理，使胴体温度(以后腿肉中心为测量点)在24小时内降为0-4℃，并在后续加工、流通和销售过程中始终保持0-4℃范围内的生鲜肉。因为在加工前经过了预冷排酸，使肉完成了"成熟"的过程，所以冷鲜肉看起来比较湿润，摸起来柔软有弹性，加工起来易入味，口感滑腻鲜嫩，冷鲜肉在-2-5℃温度下可保存七天。</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4、投标人须提供每批次《动物检疫合格证》；供货时需提供本产品合格检测报告。</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5、鲜猪肉质量标准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鲜片鲜猪肉：每片重量30公斤以上，去槽头肉、奶脯肉、板油、脚爪，含水量不得超过77%国家标准。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一级鲜片猪肉：要求脊背肥膘厚度1公分以内。</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二级鲜片猪肉：要求脊背肥膘厚度2公分以内。</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三级鲜片猪肉：要求脊背肥膘厚度3公分以内。</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鲜猪肝：要求色泽新鲜，每挂猪肝不少于2斤。</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鲜猪爪：要求表面清洁，无脚圈，每只不少于6两。</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鲜肥膘：要求以实肥为准，整齐新鲜无异味。</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鲜心肺：要求整齐新鲜无异味无注水。</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鲜板油：要求表面清洁无异味。</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鲜前夹肉：要求脊肥膘厚度1.5厘米以下，去槽头，从第5—6根排骨为准,无下五花肉,精肉完整无缺，含水量不得超出国家标准。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鲜五花肉：要求肥瘦层次分明,不带奶脯，肥膘厚度1.5厘米以下，大小适中，非肋排用剩的五花肉。</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鲜精肉：要求不带筋络和肥膘，肌肉呈淡红色或灰红色，要完整一致，必须保证是后精肉，含水量不得超出国家标准。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鲜大排：长条状截面略呈正方形，不带肋排根，不带肥膘层，每根5斤以上，去梅条肉等。</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鲜排骨：以前夹肉部位和后座肉前面排骨为准，保证5根以上排骨，去掉前面颈骨；含肉量以不见骨头为准。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鲜里脊肉：去除筋络，表面整齐，含水量不得超出国家标准。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鲜前蹄：要求无下五花肉为准。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鲜猪皮：脊背部位的猪皮，要求褪毛、干净。</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注：1、鲜片猪肉以鲜片猪肉的第六、七肋骨中间平行至第六胸椎棘突前下方的皮膘厚度为准。</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2、去三腺：摘除甲状腺、肾上腺、病变淋巴结。</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3、执行GB9959.1《分割鲜、冻鲜猪肉》、GB2707鲜畜肉卫生标准。</w:t>
      </w:r>
    </w:p>
    <w:p>
      <w:pPr>
        <w:spacing w:before="100" w:beforeAutospacing="1" w:after="100" w:afterAutospacing="1" w:line="480" w:lineRule="exact"/>
        <w:jc w:val="center"/>
        <w:rPr>
          <w:rFonts w:ascii="宋体" w:hAnsi="宋体" w:cs="宋体"/>
          <w:b/>
          <w:sz w:val="24"/>
          <w:szCs w:val="24"/>
        </w:rPr>
      </w:pPr>
      <w:r>
        <w:rPr>
          <w:rFonts w:hint="eastAsia" w:ascii="宋体" w:hAnsi="宋体" w:cs="宋体"/>
          <w:b/>
          <w:sz w:val="24"/>
          <w:szCs w:val="24"/>
        </w:rPr>
        <w:t>第二节 商务条款</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pPr>
        <w:pStyle w:val="2"/>
        <w:pageBreakBefore/>
        <w:spacing w:after="100" w:afterAutospacing="1" w:line="700" w:lineRule="exact"/>
        <w:jc w:val="center"/>
        <w:rPr>
          <w:rFonts w:ascii="宋体" w:hAnsi="宋体"/>
          <w:b/>
          <w:bCs/>
          <w:sz w:val="44"/>
        </w:rPr>
      </w:pPr>
      <w:bookmarkStart w:id="33" w:name="_Toc155527171"/>
      <w:r>
        <w:rPr>
          <w:rFonts w:hint="eastAsia" w:ascii="宋体" w:hAnsi="宋体"/>
          <w:b/>
          <w:bCs/>
          <w:sz w:val="44"/>
        </w:rPr>
        <w:t>第五章  评标方法与评标标准</w:t>
      </w:r>
      <w:bookmarkEnd w:id="33"/>
    </w:p>
    <w:p>
      <w:pPr>
        <w:spacing w:line="480" w:lineRule="exact"/>
        <w:ind w:firstLine="482" w:firstLineChars="200"/>
        <w:rPr>
          <w:rFonts w:ascii="宋体" w:hAnsi="宋体"/>
        </w:rPr>
      </w:pPr>
      <w:r>
        <w:rPr>
          <w:rFonts w:hint="eastAsia" w:ascii="宋体" w:hAnsi="宋体"/>
          <w:b/>
          <w:sz w:val="24"/>
          <w:szCs w:val="24"/>
        </w:rPr>
        <w:t>一、评标方法与定标原则</w:t>
      </w:r>
    </w:p>
    <w:p>
      <w:pPr>
        <w:spacing w:line="480" w:lineRule="exact"/>
        <w:ind w:firstLine="480" w:firstLineChars="200"/>
        <w:rPr>
          <w:rFonts w:ascii="宋体" w:hAnsi="宋体"/>
          <w:sz w:val="24"/>
          <w:szCs w:val="24"/>
        </w:rPr>
      </w:pPr>
      <w:r>
        <w:rPr>
          <w:rFonts w:hint="eastAsia" w:ascii="宋体" w:hAnsi="宋体"/>
          <w:sz w:val="24"/>
          <w:szCs w:val="24"/>
        </w:rPr>
        <w:t>评标采用综合评分法，评标结果按评审后得分由高到低顺序排列。得分相同的，按投标报价由低到高顺序排列。得分且投标报价相同的由评标委员会抽签确定顺序。投标文件满足招标文件全部实质性要求，且按照评审因素的量化指标评审得分由高至低产生2名入围中标候选人。招标人根据评标委员会提出的书面评标报告和推荐的中标侯选人依法确定2名中标人，并分别签订合同。学校各食堂档口根据需要自行选择中标人进行订货，按中标人的报价进行结算，学校不保证中标人的订货量。</w:t>
      </w:r>
    </w:p>
    <w:p>
      <w:pPr>
        <w:spacing w:line="480" w:lineRule="exact"/>
        <w:ind w:firstLine="480" w:firstLineChars="200"/>
        <w:rPr>
          <w:rFonts w:ascii="宋体" w:hAnsi="宋体"/>
          <w:sz w:val="24"/>
          <w:szCs w:val="24"/>
        </w:rPr>
      </w:pPr>
      <w:r>
        <w:rPr>
          <w:rFonts w:hint="eastAsia" w:ascii="宋体" w:hAnsi="宋体"/>
          <w:sz w:val="24"/>
          <w:szCs w:val="24"/>
        </w:rPr>
        <w:t>入围中标候选人放弃中标、因不可抗力不能履行合同，或者被查实存在影响中标结果的违法行为等情形，不符合中标条件的，招标人将取消入围，重新组织招标。中标人拖延、拒签合同的，将被取消中标资格。中标公示结束后3日内中标人必须按招标人要求提供相关资格证书原件进行确认，否则招标人将取消其中标人资格。</w:t>
      </w:r>
    </w:p>
    <w:p>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9"/>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评分标准</w:t>
            </w:r>
          </w:p>
        </w:tc>
      </w:tr>
      <w:tr>
        <w:tblPrEx>
          <w:tblCellMar>
            <w:top w:w="0" w:type="dxa"/>
            <w:left w:w="108" w:type="dxa"/>
            <w:bottom w:w="0" w:type="dxa"/>
            <w:right w:w="108" w:type="dxa"/>
          </w:tblCellMar>
        </w:tblPrEx>
        <w:trPr>
          <w:trHeight w:val="3016"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报价部分       （40分）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sz w:val="24"/>
                <w:szCs w:val="24"/>
              </w:rPr>
            </w:pPr>
            <w:r>
              <w:rPr>
                <w:rFonts w:hint="eastAsia" w:ascii="宋体" w:hAnsi="宋体"/>
                <w:sz w:val="24"/>
                <w:szCs w:val="24"/>
              </w:rPr>
              <w:t>报价方式：以江苏凌家塘市场发展有限公司网站公布的，凌家塘市场菜价公示，“荤食”区猪肉产品最底价为依据，在最底价基础上进行投标报价（报浮动率）。价格分计算方式：以满足招标文件要求的最低报价（1+最低浮动率）为基准价，</w:t>
            </w:r>
            <w:r>
              <w:rPr>
                <w:rFonts w:hint="eastAsia" w:ascii="宋体" w:hAnsi="宋体"/>
                <w:b/>
                <w:sz w:val="24"/>
                <w:szCs w:val="24"/>
              </w:rPr>
              <w:t>得32分</w:t>
            </w:r>
            <w:r>
              <w:rPr>
                <w:rFonts w:hint="eastAsia" w:ascii="宋体" w:hAnsi="宋体"/>
                <w:sz w:val="24"/>
                <w:szCs w:val="24"/>
              </w:rPr>
              <w:t>，其他报价得分＝（1+最低浮动率)÷(1+其他投标浮动率）×32（四舍五入后保留小数点后两位）。</w:t>
            </w:r>
          </w:p>
          <w:p>
            <w:pPr>
              <w:ind w:firstLine="480" w:firstLineChars="200"/>
              <w:jc w:val="left"/>
              <w:rPr>
                <w:rFonts w:ascii="宋体" w:hAnsi="宋体"/>
                <w:sz w:val="24"/>
                <w:szCs w:val="24"/>
              </w:rPr>
            </w:pPr>
            <w:r>
              <w:rPr>
                <w:rFonts w:hint="eastAsia" w:ascii="宋体" w:hAnsi="宋体"/>
                <w:sz w:val="24"/>
                <w:szCs w:val="24"/>
              </w:rPr>
              <w:t>其他猪肉产品：以满足招标文件要求的最低报价为基准价，</w:t>
            </w:r>
            <w:r>
              <w:rPr>
                <w:rFonts w:hint="eastAsia" w:ascii="宋体" w:hAnsi="宋体"/>
                <w:b/>
                <w:sz w:val="24"/>
                <w:szCs w:val="24"/>
              </w:rPr>
              <w:t>得8分</w:t>
            </w:r>
            <w:r>
              <w:rPr>
                <w:rFonts w:hint="eastAsia" w:ascii="宋体" w:hAnsi="宋体"/>
                <w:sz w:val="24"/>
                <w:szCs w:val="24"/>
              </w:rPr>
              <w:t>，其他得分＝（基准价÷其他投标报价）×8【报价为招标文件所附采购清单各品种报价汇总后的合计总价】（四舍五入后保留小数点后两位）。</w:t>
            </w:r>
          </w:p>
        </w:tc>
      </w:tr>
      <w:tr>
        <w:tblPrEx>
          <w:tblCellMar>
            <w:top w:w="0" w:type="dxa"/>
            <w:left w:w="108" w:type="dxa"/>
            <w:bottom w:w="0" w:type="dxa"/>
            <w:right w:w="108" w:type="dxa"/>
          </w:tblCellMar>
        </w:tblPrEx>
        <w:trPr>
          <w:trHeight w:val="155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（25分）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自2021年1月1日至投标截止日止，投标人具有与本项目内容相匹配的类似项目业绩，每份得2分。</w:t>
            </w:r>
            <w:r>
              <w:rPr>
                <w:rFonts w:hint="eastAsia" w:ascii="宋体" w:hAnsi="宋体"/>
                <w:b/>
                <w:bCs/>
                <w:sz w:val="24"/>
                <w:szCs w:val="24"/>
              </w:rPr>
              <w:t>本项最多得15分</w:t>
            </w:r>
            <w:r>
              <w:rPr>
                <w:rFonts w:hint="eastAsia" w:ascii="宋体" w:hAnsi="宋体"/>
                <w:sz w:val="24"/>
                <w:szCs w:val="24"/>
              </w:rPr>
              <w:t>，同一单位不同年度不重复计分。提供加盖投标人公章的合同复印件、服务单位盖章的意见反馈证明（格式自拟），缺一项不得分。</w:t>
            </w:r>
          </w:p>
        </w:tc>
      </w:tr>
    </w:tbl>
    <w:p/>
    <w:tbl>
      <w:tblPr>
        <w:tblStyle w:val="19"/>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2115"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（25分）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投标人须有固定保鲜库用于猪肉分装储存，须提供保鲜库与投标单位之间关系的产权证明复印件，或提供投标单位租赁保鲜库合同复印件；提供保鲜库全景及内景照片。照片和复印件加盖投标人公章。</w:t>
            </w:r>
          </w:p>
          <w:p>
            <w:pPr>
              <w:ind w:firstLine="480" w:firstLineChars="200"/>
              <w:rPr>
                <w:rFonts w:ascii="宋体" w:hAnsi="宋体"/>
                <w:sz w:val="24"/>
                <w:szCs w:val="24"/>
              </w:rPr>
            </w:pPr>
            <w:r>
              <w:rPr>
                <w:rFonts w:hint="eastAsia" w:ascii="宋体" w:hAnsi="宋体"/>
                <w:sz w:val="24"/>
                <w:szCs w:val="24"/>
              </w:rPr>
              <w:t>保鲜库20平方米（含）以上的得5分，10平方米（含）至20平方米的得2.5分，小于10平方米的不得分。未按以上要求提供相关材料或扫描不清晰导致无法识别的不计得分。</w:t>
            </w:r>
            <w:r>
              <w:rPr>
                <w:rFonts w:hint="eastAsia" w:ascii="宋体" w:hAnsi="宋体"/>
                <w:b/>
                <w:sz w:val="24"/>
                <w:szCs w:val="24"/>
              </w:rPr>
              <w:t>本项最多得5分。</w:t>
            </w:r>
          </w:p>
        </w:tc>
      </w:tr>
      <w:tr>
        <w:tblPrEx>
          <w:tblCellMar>
            <w:top w:w="0" w:type="dxa"/>
            <w:left w:w="108" w:type="dxa"/>
            <w:bottom w:w="0" w:type="dxa"/>
            <w:right w:w="108" w:type="dxa"/>
          </w:tblCellMar>
        </w:tblPrEx>
        <w:trPr>
          <w:trHeight w:val="2396"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投标人有猪肉配送车辆，每有一辆得3分，配有冷链运输车辆有1辆加2分，</w:t>
            </w:r>
            <w:r>
              <w:rPr>
                <w:rFonts w:hint="eastAsia" w:ascii="宋体" w:hAnsi="宋体"/>
                <w:b/>
                <w:sz w:val="24"/>
                <w:szCs w:val="24"/>
              </w:rPr>
              <w:t>本项最多得5分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1.车辆为自有的，需提供车辆照片、行驶证复印件，行驶证上显示的所有人或者与投标人名称一致，或者与法定代表人名称一致。</w:t>
            </w:r>
          </w:p>
          <w:p>
            <w:pPr>
              <w:ind w:firstLine="480" w:firstLineChars="200"/>
              <w:rPr>
                <w:rFonts w:ascii="宋体" w:hAnsi="宋体"/>
                <w:sz w:val="24"/>
                <w:szCs w:val="24"/>
              </w:rPr>
            </w:pPr>
            <w:r>
              <w:rPr>
                <w:rFonts w:hint="eastAsia" w:ascii="宋体" w:hAnsi="宋体"/>
                <w:sz w:val="24"/>
                <w:szCs w:val="24"/>
              </w:rPr>
              <w:t>2.若为租用车辆，需提供车辆照片、租赁合同复印件、行驶证复印件，行驶证上显示的所有人需与出租方名称一致。</w:t>
            </w:r>
          </w:p>
          <w:p>
            <w:pPr>
              <w:ind w:firstLine="480" w:firstLineChars="200"/>
              <w:rPr>
                <w:rFonts w:ascii="宋体" w:hAnsi="宋体"/>
                <w:sz w:val="24"/>
                <w:szCs w:val="24"/>
              </w:rPr>
            </w:pPr>
            <w:r>
              <w:rPr>
                <w:rFonts w:hint="eastAsia" w:ascii="宋体" w:hAnsi="宋体"/>
                <w:sz w:val="24"/>
                <w:szCs w:val="24"/>
              </w:rPr>
              <w:t>照片和复印件加盖投标人公章。</w:t>
            </w:r>
          </w:p>
        </w:tc>
      </w:tr>
      <w:tr>
        <w:tblPrEx>
          <w:tblCellMar>
            <w:top w:w="0" w:type="dxa"/>
            <w:left w:w="108" w:type="dxa"/>
            <w:bottom w:w="0" w:type="dxa"/>
            <w:right w:w="108" w:type="dxa"/>
          </w:tblCellMar>
        </w:tblPrEx>
        <w:trPr>
          <w:trHeight w:val="3819"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（35分）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一、可行性实施方案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w:t>
            </w:r>
          </w:p>
          <w:p>
            <w:pPr>
              <w:ind w:firstLine="480" w:firstLineChars="200"/>
              <w:rPr>
                <w:rFonts w:ascii="宋体" w:hAnsi="宋体"/>
                <w:sz w:val="24"/>
                <w:szCs w:val="24"/>
              </w:rPr>
            </w:pPr>
            <w:r>
              <w:rPr>
                <w:rFonts w:hint="eastAsia" w:ascii="宋体" w:hAnsi="宋体"/>
                <w:sz w:val="24"/>
                <w:szCs w:val="24"/>
              </w:rPr>
              <w:t>（1）项目背景理解准确；</w:t>
            </w:r>
          </w:p>
          <w:p>
            <w:pPr>
              <w:ind w:firstLine="480" w:firstLineChars="200"/>
              <w:rPr>
                <w:rFonts w:ascii="宋体" w:hAnsi="宋体"/>
                <w:sz w:val="24"/>
                <w:szCs w:val="24"/>
              </w:rPr>
            </w:pPr>
            <w:r>
              <w:rPr>
                <w:rFonts w:hint="eastAsia" w:ascii="宋体" w:hAnsi="宋体"/>
                <w:sz w:val="24"/>
                <w:szCs w:val="24"/>
              </w:rPr>
              <w:t>（2）管理规范、保障措施科学全面；</w:t>
            </w:r>
          </w:p>
          <w:p>
            <w:pPr>
              <w:ind w:firstLine="480" w:firstLineChars="200"/>
              <w:rPr>
                <w:rFonts w:ascii="宋体" w:hAnsi="宋体"/>
                <w:sz w:val="24"/>
                <w:szCs w:val="24"/>
              </w:rPr>
            </w:pPr>
            <w:r>
              <w:rPr>
                <w:rFonts w:hint="eastAsia" w:ascii="宋体" w:hAnsi="宋体"/>
                <w:sz w:val="24"/>
                <w:szCs w:val="24"/>
              </w:rPr>
              <w:t>（3）供货保障、品质监控能力强。</w:t>
            </w:r>
          </w:p>
          <w:p>
            <w:pPr>
              <w:ind w:firstLine="480" w:firstLineChars="200"/>
              <w:rPr>
                <w:rFonts w:ascii="宋体" w:hAnsi="宋体"/>
                <w:sz w:val="24"/>
                <w:szCs w:val="24"/>
              </w:rPr>
            </w:pPr>
            <w:r>
              <w:rPr>
                <w:rFonts w:hint="eastAsia" w:ascii="宋体" w:hAnsi="宋体"/>
                <w:sz w:val="24"/>
                <w:szCs w:val="24"/>
              </w:rPr>
              <w:t>满足以上三项要求得15分，满足以上两项要求得10分，满足一项得5分，其它情况不得分。格式自拟，加盖投标人公章。</w:t>
            </w:r>
          </w:p>
        </w:tc>
      </w:tr>
      <w:tr>
        <w:tblPrEx>
          <w:tblCellMar>
            <w:top w:w="0" w:type="dxa"/>
            <w:left w:w="108" w:type="dxa"/>
            <w:bottom w:w="0" w:type="dxa"/>
            <w:right w:w="108" w:type="dxa"/>
          </w:tblCellMar>
        </w:tblPrEx>
        <w:trPr>
          <w:trHeight w:val="3547"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tcPr>
          <w:p>
            <w:pPr>
              <w:ind w:firstLine="482" w:firstLineChars="200"/>
              <w:rPr>
                <w:rFonts w:ascii="宋体" w:hAnsi="宋体"/>
                <w:b/>
                <w:sz w:val="24"/>
                <w:szCs w:val="24"/>
              </w:rPr>
            </w:pPr>
            <w:r>
              <w:rPr>
                <w:rFonts w:hint="eastAsia" w:ascii="宋体" w:hAnsi="宋体"/>
                <w:b/>
                <w:sz w:val="24"/>
                <w:szCs w:val="24"/>
              </w:rPr>
              <w:t>二、项目重点难点分析</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投标人提供项目重点难点分析（包括食材采购、储存、分装和运输过程中保持新鲜；配送时间的把控等）的应对措施、合理化建议。</w:t>
            </w:r>
          </w:p>
          <w:p>
            <w:pPr>
              <w:ind w:firstLine="482" w:firstLineChars="200"/>
              <w:rPr>
                <w:rFonts w:ascii="宋体" w:hAnsi="宋体"/>
                <w:b/>
                <w:sz w:val="24"/>
                <w:szCs w:val="24"/>
              </w:rPr>
            </w:pPr>
            <w:r>
              <w:rPr>
                <w:rFonts w:hint="eastAsia" w:ascii="宋体" w:hAnsi="宋体"/>
                <w:b/>
                <w:sz w:val="24"/>
                <w:szCs w:val="24"/>
              </w:rPr>
              <w:t>2.评分标准与依据</w:t>
            </w:r>
          </w:p>
          <w:p>
            <w:pPr>
              <w:ind w:firstLine="480" w:firstLineChars="200"/>
              <w:rPr>
                <w:rFonts w:ascii="宋体" w:hAnsi="宋体"/>
                <w:sz w:val="24"/>
                <w:szCs w:val="24"/>
              </w:rPr>
            </w:pPr>
            <w:r>
              <w:rPr>
                <w:rFonts w:hint="eastAsia" w:ascii="宋体" w:hAnsi="宋体"/>
                <w:sz w:val="24"/>
                <w:szCs w:val="24"/>
              </w:rPr>
              <w:t>（1）项目重点难点分析全面准确；</w:t>
            </w:r>
          </w:p>
          <w:p>
            <w:pPr>
              <w:ind w:firstLine="480" w:firstLineChars="200"/>
              <w:rPr>
                <w:rFonts w:ascii="宋体" w:hAnsi="宋体"/>
                <w:sz w:val="24"/>
                <w:szCs w:val="24"/>
              </w:rPr>
            </w:pPr>
            <w:r>
              <w:rPr>
                <w:rFonts w:hint="eastAsia" w:ascii="宋体" w:hAnsi="宋体"/>
                <w:sz w:val="24"/>
                <w:szCs w:val="24"/>
              </w:rPr>
              <w:t>（2）项目应对措施及合理化建议清晰；</w:t>
            </w:r>
          </w:p>
          <w:p>
            <w:pPr>
              <w:ind w:firstLine="480" w:firstLineChars="200"/>
              <w:rPr>
                <w:rFonts w:ascii="宋体" w:hAnsi="宋体"/>
                <w:sz w:val="24"/>
                <w:szCs w:val="24"/>
              </w:rPr>
            </w:pPr>
            <w:r>
              <w:rPr>
                <w:rFonts w:hint="eastAsia" w:ascii="宋体" w:hAnsi="宋体"/>
                <w:sz w:val="24"/>
                <w:szCs w:val="24"/>
              </w:rPr>
              <w:t>（3）项目应对措施及合理化建议可操作性强；</w:t>
            </w:r>
          </w:p>
          <w:p>
            <w:pPr>
              <w:ind w:firstLine="480" w:firstLineChars="200"/>
              <w:rPr>
                <w:rFonts w:ascii="宋体" w:hAnsi="宋体"/>
                <w:sz w:val="24"/>
                <w:szCs w:val="24"/>
              </w:rPr>
            </w:pPr>
            <w:r>
              <w:rPr>
                <w:rFonts w:hint="eastAsia" w:ascii="宋体" w:hAnsi="宋体"/>
                <w:sz w:val="24"/>
                <w:szCs w:val="24"/>
              </w:rPr>
              <w:t>满足以上三项要求得10分，满足以上两项要求得7分，满足一项得分3分，其它情况不得分。格式自拟，加盖投标人公章。</w:t>
            </w:r>
          </w:p>
        </w:tc>
      </w:tr>
    </w:tbl>
    <w:p/>
    <w:tbl>
      <w:tblPr>
        <w:tblStyle w:val="19"/>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3103" w:hRule="atLeast"/>
          <w:jc w:val="center"/>
        </w:trPr>
        <w:tc>
          <w:tcPr>
            <w:tcW w:w="1736"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（35分）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三、应急处理工作方案、预案</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 xml:space="preserve">投标人提供完备的物流配送、食品安全等方面的应急处理工作方案、预案。 </w:t>
            </w:r>
          </w:p>
          <w:p>
            <w:pPr>
              <w:ind w:firstLine="482" w:firstLineChars="200"/>
              <w:rPr>
                <w:rFonts w:ascii="宋体" w:hAnsi="宋体"/>
                <w:b/>
                <w:sz w:val="24"/>
                <w:szCs w:val="24"/>
              </w:rPr>
            </w:pPr>
            <w:r>
              <w:rPr>
                <w:rFonts w:hint="eastAsia" w:ascii="宋体" w:hAnsi="宋体"/>
                <w:b/>
                <w:sz w:val="24"/>
                <w:szCs w:val="24"/>
              </w:rPr>
              <w:t>2.评分标准与依据</w:t>
            </w:r>
          </w:p>
          <w:p>
            <w:pPr>
              <w:ind w:firstLine="480" w:firstLineChars="200"/>
              <w:rPr>
                <w:rFonts w:ascii="宋体" w:hAnsi="宋体"/>
                <w:sz w:val="24"/>
                <w:szCs w:val="24"/>
              </w:rPr>
            </w:pPr>
            <w:r>
              <w:rPr>
                <w:rFonts w:hint="eastAsia" w:ascii="宋体" w:hAnsi="宋体"/>
                <w:sz w:val="24"/>
                <w:szCs w:val="24"/>
              </w:rPr>
              <w:t>（1）物流配送应急处理的工作方案详细、科学、合理；</w:t>
            </w:r>
          </w:p>
          <w:p>
            <w:pPr>
              <w:ind w:firstLine="480" w:firstLineChars="200"/>
              <w:rPr>
                <w:rFonts w:ascii="宋体" w:hAnsi="宋体"/>
                <w:sz w:val="24"/>
                <w:szCs w:val="24"/>
              </w:rPr>
            </w:pPr>
            <w:r>
              <w:rPr>
                <w:rFonts w:hint="eastAsia" w:ascii="宋体" w:hAnsi="宋体"/>
                <w:sz w:val="24"/>
                <w:szCs w:val="24"/>
              </w:rPr>
              <w:t>（2）食品安全应急处理的工作方案详细、科学、合理；</w:t>
            </w:r>
          </w:p>
          <w:p>
            <w:pPr>
              <w:ind w:firstLine="480" w:firstLineChars="200"/>
              <w:rPr>
                <w:rFonts w:ascii="宋体" w:hAnsi="宋体"/>
                <w:b/>
                <w:sz w:val="24"/>
                <w:szCs w:val="24"/>
              </w:rPr>
            </w:pPr>
            <w:r>
              <w:rPr>
                <w:rFonts w:hint="eastAsia" w:ascii="宋体" w:hAnsi="宋体"/>
                <w:sz w:val="24"/>
                <w:szCs w:val="24"/>
              </w:rPr>
              <w:t>满足以上两项要求得5分，满足以上一项要求得3分，其它情况不得分。格式自拟，加盖投标人公章。</w:t>
            </w:r>
          </w:p>
        </w:tc>
      </w:tr>
      <w:tr>
        <w:tblPrEx>
          <w:tblCellMar>
            <w:top w:w="0" w:type="dxa"/>
            <w:left w:w="108" w:type="dxa"/>
            <w:bottom w:w="0" w:type="dxa"/>
            <w:right w:w="108" w:type="dxa"/>
          </w:tblCellMar>
        </w:tblPrEx>
        <w:trPr>
          <w:trHeight w:val="3388" w:hRule="atLeast"/>
          <w:jc w:val="center"/>
        </w:trPr>
        <w:tc>
          <w:tcPr>
            <w:tcW w:w="1736"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四、违约承诺</w:t>
            </w:r>
          </w:p>
          <w:p>
            <w:pPr>
              <w:ind w:firstLine="482" w:firstLineChars="200"/>
              <w:rPr>
                <w:rFonts w:ascii="宋体" w:hAnsi="宋体"/>
                <w:b/>
                <w:sz w:val="24"/>
                <w:szCs w:val="24"/>
              </w:rPr>
            </w:pPr>
            <w:r>
              <w:rPr>
                <w:rFonts w:hint="eastAsia" w:ascii="宋体" w:hAnsi="宋体"/>
                <w:b/>
                <w:sz w:val="24"/>
                <w:szCs w:val="24"/>
              </w:rPr>
              <w:t>1.评审内容</w:t>
            </w:r>
          </w:p>
          <w:p>
            <w:pPr>
              <w:ind w:firstLine="480" w:firstLineChars="200"/>
              <w:rPr>
                <w:rFonts w:ascii="宋体" w:hAnsi="宋体"/>
                <w:sz w:val="24"/>
                <w:szCs w:val="24"/>
              </w:rPr>
            </w:pPr>
            <w:r>
              <w:rPr>
                <w:rFonts w:hint="eastAsia" w:ascii="宋体" w:hAnsi="宋体"/>
                <w:sz w:val="24"/>
                <w:szCs w:val="24"/>
              </w:rPr>
              <w:t>投标人提供违约承诺，包括食品安全、服务质量、诚信经营、供货及时性等内容。</w:t>
            </w:r>
          </w:p>
          <w:p>
            <w:pPr>
              <w:ind w:firstLine="482" w:firstLineChars="200"/>
              <w:rPr>
                <w:rFonts w:ascii="宋体" w:hAnsi="宋体"/>
                <w:b/>
                <w:sz w:val="24"/>
                <w:szCs w:val="24"/>
              </w:rPr>
            </w:pPr>
            <w:r>
              <w:rPr>
                <w:rFonts w:hint="eastAsia" w:ascii="宋体" w:hAnsi="宋体"/>
                <w:b/>
                <w:sz w:val="24"/>
                <w:szCs w:val="24"/>
              </w:rPr>
              <w:t>2.评分标准与依据</w:t>
            </w:r>
          </w:p>
          <w:p>
            <w:pPr>
              <w:ind w:firstLine="480" w:firstLineChars="200"/>
              <w:rPr>
                <w:rFonts w:ascii="宋体" w:hAnsi="宋体"/>
                <w:sz w:val="24"/>
                <w:szCs w:val="24"/>
              </w:rPr>
            </w:pPr>
            <w:r>
              <w:rPr>
                <w:rFonts w:hint="eastAsia" w:ascii="宋体" w:hAnsi="宋体"/>
                <w:sz w:val="24"/>
                <w:szCs w:val="24"/>
              </w:rPr>
              <w:t>（1）违约承诺详细、全面；</w:t>
            </w:r>
          </w:p>
          <w:p>
            <w:pPr>
              <w:ind w:firstLine="480" w:firstLineChars="200"/>
              <w:rPr>
                <w:rFonts w:ascii="宋体" w:hAnsi="宋体"/>
                <w:sz w:val="24"/>
                <w:szCs w:val="24"/>
              </w:rPr>
            </w:pPr>
            <w:r>
              <w:rPr>
                <w:rFonts w:hint="eastAsia" w:ascii="宋体" w:hAnsi="宋体"/>
                <w:sz w:val="24"/>
                <w:szCs w:val="24"/>
              </w:rPr>
              <w:t>（2）违约承诺科学、合理；</w:t>
            </w:r>
          </w:p>
          <w:p>
            <w:pPr>
              <w:ind w:firstLine="480" w:firstLineChars="200"/>
              <w:rPr>
                <w:rFonts w:ascii="宋体" w:hAnsi="宋体"/>
                <w:sz w:val="24"/>
                <w:szCs w:val="24"/>
              </w:rPr>
            </w:pPr>
            <w:r>
              <w:rPr>
                <w:rFonts w:hint="eastAsia" w:ascii="宋体" w:hAnsi="宋体"/>
                <w:sz w:val="24"/>
                <w:szCs w:val="24"/>
              </w:rPr>
              <w:t>（3）违约承诺可操作性强；</w:t>
            </w:r>
          </w:p>
          <w:p>
            <w:pPr>
              <w:ind w:firstLine="480" w:firstLineChars="200"/>
              <w:rPr>
                <w:rFonts w:ascii="宋体" w:hAnsi="宋体"/>
                <w:b/>
                <w:sz w:val="24"/>
                <w:szCs w:val="24"/>
              </w:rPr>
            </w:pPr>
            <w:r>
              <w:rPr>
                <w:rFonts w:hint="eastAsia" w:ascii="宋体" w:hAnsi="宋体"/>
                <w:sz w:val="24"/>
                <w:szCs w:val="24"/>
              </w:rPr>
              <w:t>满足以上三项要求得5分，满足以上两项要求得3分，满足一项得1分，其它情况不得分。格式自拟，加盖投标人公章。</w:t>
            </w:r>
          </w:p>
        </w:tc>
      </w:tr>
    </w:tbl>
    <w:p>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36"/>
          <w:szCs w:val="36"/>
          <w:lang w:val="zh-CN"/>
        </w:rPr>
      </w:pPr>
    </w:p>
    <w:p>
      <w:pPr>
        <w:autoSpaceDE w:val="0"/>
        <w:autoSpaceDN w:val="0"/>
        <w:adjustRightInd w:val="0"/>
        <w:jc w:val="center"/>
        <w:rPr>
          <w:rFonts w:ascii="宋体" w:cs="宋体"/>
          <w:b/>
          <w:bCs/>
          <w:sz w:val="36"/>
          <w:szCs w:val="36"/>
          <w:lang w:val="zh-CN"/>
        </w:rPr>
      </w:pPr>
    </w:p>
    <w:p>
      <w:pPr>
        <w:autoSpaceDE w:val="0"/>
        <w:autoSpaceDN w:val="0"/>
        <w:adjustRightInd w:val="0"/>
        <w:spacing w:line="600" w:lineRule="exact"/>
        <w:jc w:val="center"/>
        <w:rPr>
          <w:rFonts w:ascii="宋体" w:cs="宋体"/>
          <w:b/>
          <w:bCs/>
          <w:sz w:val="36"/>
          <w:szCs w:val="36"/>
          <w:lang w:val="zh-CN"/>
        </w:rPr>
      </w:pP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440" w:lineRule="exact"/>
        <w:jc w:val="center"/>
        <w:rPr>
          <w:rFonts w:ascii="宋体" w:cs="宋体"/>
          <w:b/>
          <w:bCs/>
          <w:sz w:val="24"/>
          <w:szCs w:val="24"/>
          <w:lang w:val="zh-CN"/>
        </w:rPr>
      </w:pPr>
    </w:p>
    <w:p>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pPr>
        <w:ind w:left="1260" w:leftChars="600"/>
        <w:rPr>
          <w:lang w:val="zh-CN"/>
        </w:rPr>
      </w:pP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二、实质性要求和条件响应对照表（如有）</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九、可行性实施方案、项目重点难点分析、应急处理工作方案和预案、违约承诺</w:t>
      </w:r>
    </w:p>
    <w:p>
      <w:pPr>
        <w:autoSpaceDE w:val="0"/>
        <w:autoSpaceDN w:val="0"/>
        <w:adjustRightInd w:val="0"/>
        <w:spacing w:line="440" w:lineRule="exact"/>
        <w:ind w:firstLine="480"/>
        <w:rPr>
          <w:rFonts w:ascii="宋体" w:cs="宋体"/>
          <w:sz w:val="24"/>
          <w:szCs w:val="24"/>
          <w:lang w:val="zh-CN"/>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309"/>
        <w:rPr>
          <w:rFonts w:ascii="宋体" w:cs="宋体"/>
          <w:sz w:val="24"/>
          <w:szCs w:val="24"/>
          <w:lang w:val="zh-CN"/>
        </w:rPr>
      </w:pPr>
    </w:p>
    <w:tbl>
      <w:tblPr>
        <w:tblStyle w:val="19"/>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254"/>
        <w:gridCol w:w="1987"/>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8" w:type="dxa"/>
            <w:vAlign w:val="center"/>
          </w:tcPr>
          <w:p>
            <w:pPr>
              <w:snapToGrid w:val="0"/>
              <w:rPr>
                <w:rFonts w:ascii="宋体" w:hAnsi="宋体"/>
                <w:b/>
                <w:sz w:val="24"/>
                <w:szCs w:val="21"/>
              </w:rPr>
            </w:pPr>
            <w:r>
              <w:rPr>
                <w:rFonts w:hint="eastAsia" w:ascii="宋体" w:hAnsi="宋体"/>
                <w:b/>
                <w:sz w:val="24"/>
                <w:szCs w:val="21"/>
              </w:rPr>
              <w:t>序号</w:t>
            </w:r>
          </w:p>
        </w:tc>
        <w:tc>
          <w:tcPr>
            <w:tcW w:w="5254" w:type="dxa"/>
            <w:vAlign w:val="center"/>
          </w:tcPr>
          <w:p>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7"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1515"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74" w:type="dxa"/>
            <w:gridSpan w:val="4"/>
            <w:vAlign w:val="center"/>
          </w:tcPr>
          <w:p>
            <w:pPr>
              <w:rPr>
                <w:rFonts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18" w:type="dxa"/>
            <w:vAlign w:val="center"/>
          </w:tcPr>
          <w:p>
            <w:pPr>
              <w:jc w:val="center"/>
              <w:rPr>
                <w:rFonts w:ascii="宋体" w:hAnsi="宋体"/>
                <w:sz w:val="24"/>
                <w:szCs w:val="21"/>
              </w:rPr>
            </w:pPr>
            <w:r>
              <w:rPr>
                <w:rFonts w:hint="eastAsia" w:ascii="宋体" w:hAnsi="宋体"/>
                <w:sz w:val="24"/>
                <w:szCs w:val="21"/>
              </w:rPr>
              <w:t>1</w:t>
            </w:r>
          </w:p>
        </w:tc>
        <w:tc>
          <w:tcPr>
            <w:tcW w:w="5254" w:type="dxa"/>
            <w:vAlign w:val="center"/>
          </w:tcPr>
          <w:p>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7" w:type="dxa"/>
            <w:vAlign w:val="center"/>
          </w:tcPr>
          <w:p>
            <w:pPr>
              <w:ind w:firstLine="482" w:firstLineChars="200"/>
              <w:jc w:val="center"/>
              <w:rPr>
                <w:rFonts w:ascii="宋体" w:hAnsi="宋体"/>
                <w:b/>
                <w:sz w:val="24"/>
                <w:szCs w:val="21"/>
              </w:rPr>
            </w:pPr>
          </w:p>
        </w:tc>
        <w:tc>
          <w:tcPr>
            <w:tcW w:w="1515"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8" w:type="dxa"/>
            <w:vAlign w:val="center"/>
          </w:tcPr>
          <w:p>
            <w:pPr>
              <w:jc w:val="center"/>
              <w:rPr>
                <w:rFonts w:ascii="宋体" w:hAnsi="宋体"/>
                <w:sz w:val="24"/>
                <w:szCs w:val="21"/>
              </w:rPr>
            </w:pPr>
            <w:r>
              <w:rPr>
                <w:rFonts w:hint="eastAsia" w:ascii="宋体" w:hAnsi="宋体"/>
                <w:sz w:val="24"/>
                <w:szCs w:val="21"/>
              </w:rPr>
              <w:t>2</w:t>
            </w:r>
          </w:p>
        </w:tc>
        <w:tc>
          <w:tcPr>
            <w:tcW w:w="5254" w:type="dxa"/>
            <w:vAlign w:val="center"/>
          </w:tcPr>
          <w:p>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7" w:type="dxa"/>
            <w:vAlign w:val="center"/>
          </w:tcPr>
          <w:p>
            <w:pPr>
              <w:ind w:firstLine="480" w:firstLineChars="200"/>
              <w:jc w:val="center"/>
              <w:rPr>
                <w:rFonts w:ascii="宋体" w:hAnsi="宋体"/>
                <w:sz w:val="24"/>
                <w:szCs w:val="21"/>
              </w:rPr>
            </w:pPr>
          </w:p>
        </w:tc>
        <w:tc>
          <w:tcPr>
            <w:tcW w:w="1515"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18" w:type="dxa"/>
            <w:vAlign w:val="center"/>
          </w:tcPr>
          <w:p>
            <w:pPr>
              <w:jc w:val="center"/>
              <w:rPr>
                <w:rFonts w:ascii="宋体" w:hAnsi="宋体"/>
                <w:sz w:val="24"/>
                <w:szCs w:val="21"/>
              </w:rPr>
            </w:pPr>
            <w:r>
              <w:rPr>
                <w:rFonts w:hint="eastAsia" w:ascii="宋体" w:hAnsi="宋体"/>
                <w:sz w:val="24"/>
                <w:szCs w:val="21"/>
              </w:rPr>
              <w:t>3</w:t>
            </w:r>
          </w:p>
        </w:tc>
        <w:tc>
          <w:tcPr>
            <w:tcW w:w="5254" w:type="dxa"/>
            <w:vAlign w:val="center"/>
          </w:tcPr>
          <w:p>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7" w:type="dxa"/>
            <w:vAlign w:val="center"/>
          </w:tcPr>
          <w:p>
            <w:pPr>
              <w:ind w:firstLine="480" w:firstLineChars="200"/>
              <w:jc w:val="center"/>
              <w:rPr>
                <w:rFonts w:ascii="宋体" w:hAnsi="宋体"/>
                <w:sz w:val="24"/>
                <w:szCs w:val="21"/>
              </w:rPr>
            </w:pPr>
          </w:p>
        </w:tc>
        <w:tc>
          <w:tcPr>
            <w:tcW w:w="1515"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574" w:type="dxa"/>
            <w:gridSpan w:val="4"/>
            <w:vAlign w:val="center"/>
          </w:tcPr>
          <w:p>
            <w:pPr>
              <w:rPr>
                <w:rFonts w:ascii="宋体" w:hAnsi="宋体"/>
                <w:b/>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8" w:type="dxa"/>
            <w:vAlign w:val="center"/>
          </w:tcPr>
          <w:p>
            <w:pPr>
              <w:jc w:val="center"/>
              <w:rPr>
                <w:rFonts w:ascii="宋体" w:hAnsi="宋体"/>
                <w:sz w:val="24"/>
                <w:szCs w:val="21"/>
              </w:rPr>
            </w:pPr>
            <w:r>
              <w:rPr>
                <w:rFonts w:hint="eastAsia" w:ascii="宋体" w:hAnsi="宋体"/>
                <w:sz w:val="24"/>
                <w:szCs w:val="21"/>
              </w:rPr>
              <w:t>1</w:t>
            </w:r>
          </w:p>
        </w:tc>
        <w:tc>
          <w:tcPr>
            <w:tcW w:w="5254" w:type="dxa"/>
            <w:vAlign w:val="center"/>
          </w:tcPr>
          <w:p>
            <w:pPr>
              <w:snapToGrid w:val="0"/>
              <w:rPr>
                <w:rFonts w:ascii="宋体" w:hAnsi="宋体"/>
                <w:iCs/>
                <w:sz w:val="24"/>
                <w:szCs w:val="24"/>
              </w:rPr>
            </w:pPr>
            <w:r>
              <w:rPr>
                <w:rFonts w:hint="eastAsia" w:ascii="宋体" w:hAnsi="宋体"/>
                <w:bCs/>
                <w:sz w:val="24"/>
              </w:rPr>
              <w:t>法定代表人、授权代理人人员名单</w:t>
            </w:r>
            <w:r>
              <w:rPr>
                <w:rFonts w:hint="eastAsia" w:ascii="宋体" w:hAnsi="宋体"/>
                <w:bCs/>
                <w:sz w:val="24"/>
                <w:szCs w:val="24"/>
              </w:rPr>
              <w:t>（身份证复印件附后）</w:t>
            </w:r>
            <w:r>
              <w:rPr>
                <w:rFonts w:hint="eastAsia" w:ascii="宋体" w:hAnsi="宋体"/>
                <w:bCs/>
                <w:sz w:val="24"/>
              </w:rPr>
              <w:t>。</w:t>
            </w:r>
          </w:p>
        </w:tc>
        <w:tc>
          <w:tcPr>
            <w:tcW w:w="1987" w:type="dxa"/>
            <w:vAlign w:val="center"/>
          </w:tcPr>
          <w:p>
            <w:pPr>
              <w:ind w:firstLine="480" w:firstLineChars="200"/>
              <w:jc w:val="center"/>
              <w:rPr>
                <w:rFonts w:ascii="宋体" w:hAnsi="宋体"/>
                <w:sz w:val="24"/>
                <w:szCs w:val="21"/>
              </w:rPr>
            </w:pPr>
          </w:p>
        </w:tc>
        <w:tc>
          <w:tcPr>
            <w:tcW w:w="1515"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8" w:type="dxa"/>
            <w:vAlign w:val="center"/>
          </w:tcPr>
          <w:p>
            <w:pPr>
              <w:jc w:val="center"/>
              <w:rPr>
                <w:rFonts w:ascii="宋体" w:hAnsi="宋体"/>
                <w:sz w:val="24"/>
                <w:szCs w:val="21"/>
              </w:rPr>
            </w:pPr>
            <w:r>
              <w:rPr>
                <w:rFonts w:hint="eastAsia" w:ascii="宋体" w:hAnsi="宋体"/>
                <w:sz w:val="24"/>
                <w:szCs w:val="21"/>
              </w:rPr>
              <w:t>2</w:t>
            </w:r>
          </w:p>
        </w:tc>
        <w:tc>
          <w:tcPr>
            <w:tcW w:w="5254" w:type="dxa"/>
            <w:vAlign w:val="center"/>
          </w:tcPr>
          <w:p>
            <w:pPr>
              <w:snapToGrid w:val="0"/>
              <w:rPr>
                <w:rFonts w:ascii="宋体" w:hAnsi="宋体"/>
                <w:bCs/>
                <w:sz w:val="24"/>
              </w:rPr>
            </w:pPr>
            <w:r>
              <w:rPr>
                <w:rFonts w:hint="eastAsia" w:ascii="宋体" w:hAnsi="宋体"/>
                <w:bCs/>
                <w:sz w:val="24"/>
              </w:rPr>
              <w:t>投标人为生产企业，应提交的资格材料：动物防疫合格证（或“动物防疫条件合格证”）复印件；生猪定点屠宰证书复印件（加盖单位公章）；食品生产许可证复印件。</w:t>
            </w:r>
          </w:p>
          <w:p>
            <w:pPr>
              <w:snapToGrid w:val="0"/>
              <w:rPr>
                <w:rFonts w:ascii="宋体" w:hAnsi="宋体"/>
                <w:bCs/>
                <w:sz w:val="24"/>
              </w:rPr>
            </w:pPr>
            <w:r>
              <w:rPr>
                <w:rFonts w:hint="eastAsia" w:ascii="宋体" w:hAnsi="宋体"/>
                <w:bCs/>
                <w:sz w:val="24"/>
              </w:rPr>
              <w:t>投标人为代理商或经销商，除提交代理或经销品牌产品生产企业资格材料外，还应提交代理商或经销商授权书复印件、食品经营许可证复印件。</w:t>
            </w:r>
          </w:p>
        </w:tc>
        <w:tc>
          <w:tcPr>
            <w:tcW w:w="1987" w:type="dxa"/>
            <w:vAlign w:val="center"/>
          </w:tcPr>
          <w:p>
            <w:pPr>
              <w:ind w:firstLine="480" w:firstLineChars="200"/>
              <w:jc w:val="center"/>
              <w:rPr>
                <w:rFonts w:ascii="宋体" w:hAnsi="宋体"/>
                <w:sz w:val="24"/>
                <w:szCs w:val="21"/>
              </w:rPr>
            </w:pPr>
          </w:p>
        </w:tc>
        <w:tc>
          <w:tcPr>
            <w:tcW w:w="1515"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8" w:type="dxa"/>
            <w:vAlign w:val="center"/>
          </w:tcPr>
          <w:p>
            <w:pPr>
              <w:jc w:val="center"/>
              <w:rPr>
                <w:rFonts w:ascii="宋体" w:hAnsi="宋体"/>
                <w:sz w:val="24"/>
                <w:szCs w:val="21"/>
              </w:rPr>
            </w:pPr>
            <w:r>
              <w:rPr>
                <w:rFonts w:hint="eastAsia" w:ascii="宋体" w:hAnsi="宋体"/>
                <w:sz w:val="24"/>
                <w:szCs w:val="21"/>
              </w:rPr>
              <w:t>3</w:t>
            </w:r>
          </w:p>
        </w:tc>
        <w:tc>
          <w:tcPr>
            <w:tcW w:w="5254" w:type="dxa"/>
            <w:vAlign w:val="center"/>
          </w:tcPr>
          <w:p>
            <w:pPr>
              <w:snapToGrid w:val="0"/>
              <w:rPr>
                <w:rFonts w:ascii="宋体" w:hAnsi="宋体"/>
                <w:iCs/>
                <w:sz w:val="24"/>
                <w:szCs w:val="24"/>
              </w:rPr>
            </w:pPr>
            <w:r>
              <w:rPr>
                <w:rFonts w:hint="eastAsia" w:ascii="宋体" w:hAnsi="宋体"/>
                <w:iCs/>
                <w:sz w:val="24"/>
                <w:szCs w:val="24"/>
              </w:rPr>
              <w:t>未被“信用中国”网站</w:t>
            </w:r>
          </w:p>
          <w:p>
            <w:pPr>
              <w:snapToGrid w:val="0"/>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1987" w:type="dxa"/>
            <w:vAlign w:val="center"/>
          </w:tcPr>
          <w:p>
            <w:pPr>
              <w:ind w:firstLine="480" w:firstLineChars="200"/>
              <w:jc w:val="center"/>
              <w:rPr>
                <w:rFonts w:ascii="宋体" w:hAnsi="宋体"/>
                <w:sz w:val="24"/>
                <w:szCs w:val="21"/>
              </w:rPr>
            </w:pPr>
          </w:p>
        </w:tc>
        <w:tc>
          <w:tcPr>
            <w:tcW w:w="1515"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8" w:type="dxa"/>
            <w:vAlign w:val="center"/>
          </w:tcPr>
          <w:p>
            <w:pPr>
              <w:jc w:val="center"/>
              <w:rPr>
                <w:rFonts w:ascii="宋体" w:hAnsi="宋体"/>
                <w:sz w:val="24"/>
                <w:szCs w:val="21"/>
              </w:rPr>
            </w:pPr>
            <w:r>
              <w:rPr>
                <w:rFonts w:hint="eastAsia" w:ascii="宋体" w:hAnsi="宋体"/>
                <w:sz w:val="24"/>
                <w:szCs w:val="21"/>
              </w:rPr>
              <w:t>4</w:t>
            </w:r>
          </w:p>
        </w:tc>
        <w:tc>
          <w:tcPr>
            <w:tcW w:w="5254" w:type="dxa"/>
            <w:vAlign w:val="center"/>
          </w:tcPr>
          <w:p>
            <w:pPr>
              <w:rPr>
                <w:rFonts w:ascii="宋体" w:hAnsi="宋体"/>
                <w:iCs/>
                <w:sz w:val="24"/>
                <w:szCs w:val="24"/>
              </w:rPr>
            </w:pPr>
            <w:r>
              <w:rPr>
                <w:rFonts w:hint="eastAsia" w:ascii="宋体" w:hAnsi="宋体"/>
                <w:sz w:val="24"/>
                <w:szCs w:val="24"/>
              </w:rPr>
              <w:t>……</w:t>
            </w:r>
          </w:p>
        </w:tc>
        <w:tc>
          <w:tcPr>
            <w:tcW w:w="1987" w:type="dxa"/>
            <w:vAlign w:val="center"/>
          </w:tcPr>
          <w:p>
            <w:pPr>
              <w:ind w:firstLine="480" w:firstLineChars="200"/>
              <w:jc w:val="center"/>
              <w:rPr>
                <w:rFonts w:ascii="宋体" w:hAnsi="宋体"/>
                <w:sz w:val="24"/>
                <w:szCs w:val="21"/>
              </w:rPr>
            </w:pPr>
          </w:p>
        </w:tc>
        <w:tc>
          <w:tcPr>
            <w:tcW w:w="1515"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574" w:type="dxa"/>
            <w:gridSpan w:val="4"/>
            <w:vAlign w:val="center"/>
          </w:tcPr>
          <w:p>
            <w:pPr>
              <w:rPr>
                <w:rFonts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8" w:type="dxa"/>
            <w:vAlign w:val="center"/>
          </w:tcPr>
          <w:p>
            <w:pPr>
              <w:jc w:val="center"/>
              <w:rPr>
                <w:rFonts w:ascii="宋体" w:hAnsi="宋体"/>
                <w:sz w:val="24"/>
                <w:szCs w:val="21"/>
              </w:rPr>
            </w:pPr>
            <w:r>
              <w:rPr>
                <w:rFonts w:hint="eastAsia" w:ascii="宋体" w:hAnsi="宋体"/>
                <w:sz w:val="24"/>
                <w:szCs w:val="21"/>
              </w:rPr>
              <w:t>1</w:t>
            </w:r>
          </w:p>
        </w:tc>
        <w:tc>
          <w:tcPr>
            <w:tcW w:w="5254"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7" w:type="dxa"/>
            <w:vAlign w:val="center"/>
          </w:tcPr>
          <w:p>
            <w:pPr>
              <w:ind w:firstLine="480" w:firstLineChars="200"/>
              <w:jc w:val="center"/>
              <w:rPr>
                <w:rFonts w:ascii="宋体" w:hAnsi="宋体"/>
                <w:sz w:val="24"/>
                <w:szCs w:val="21"/>
              </w:rPr>
            </w:pPr>
          </w:p>
        </w:tc>
        <w:tc>
          <w:tcPr>
            <w:tcW w:w="1515"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8" w:type="dxa"/>
            <w:vAlign w:val="center"/>
          </w:tcPr>
          <w:p>
            <w:pPr>
              <w:jc w:val="center"/>
              <w:rPr>
                <w:rFonts w:ascii="宋体" w:hAnsi="宋体"/>
                <w:sz w:val="24"/>
                <w:szCs w:val="21"/>
              </w:rPr>
            </w:pPr>
            <w:r>
              <w:rPr>
                <w:rFonts w:hint="eastAsia" w:ascii="宋体" w:hAnsi="宋体"/>
                <w:sz w:val="24"/>
                <w:szCs w:val="21"/>
              </w:rPr>
              <w:t>2</w:t>
            </w:r>
          </w:p>
        </w:tc>
        <w:tc>
          <w:tcPr>
            <w:tcW w:w="5254" w:type="dxa"/>
            <w:vAlign w:val="center"/>
          </w:tcPr>
          <w:p>
            <w:pPr>
              <w:snapToGrid w:val="0"/>
              <w:ind w:firstLine="480" w:firstLineChars="200"/>
              <w:jc w:val="center"/>
              <w:rPr>
                <w:rFonts w:ascii="宋体" w:hAnsi="宋体"/>
                <w:iCs/>
                <w:sz w:val="24"/>
                <w:szCs w:val="24"/>
              </w:rPr>
            </w:pPr>
          </w:p>
        </w:tc>
        <w:tc>
          <w:tcPr>
            <w:tcW w:w="1987" w:type="dxa"/>
            <w:vAlign w:val="center"/>
          </w:tcPr>
          <w:p>
            <w:pPr>
              <w:ind w:firstLine="480" w:firstLineChars="200"/>
              <w:jc w:val="center"/>
              <w:rPr>
                <w:rFonts w:ascii="宋体" w:hAnsi="宋体"/>
                <w:sz w:val="24"/>
                <w:szCs w:val="21"/>
              </w:rPr>
            </w:pPr>
          </w:p>
        </w:tc>
        <w:tc>
          <w:tcPr>
            <w:tcW w:w="1515"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8" w:type="dxa"/>
            <w:vAlign w:val="center"/>
          </w:tcPr>
          <w:p>
            <w:pPr>
              <w:jc w:val="center"/>
              <w:rPr>
                <w:rFonts w:ascii="宋体" w:hAnsi="宋体"/>
                <w:sz w:val="24"/>
                <w:szCs w:val="21"/>
              </w:rPr>
            </w:pPr>
          </w:p>
        </w:tc>
        <w:tc>
          <w:tcPr>
            <w:tcW w:w="5254" w:type="dxa"/>
            <w:vAlign w:val="center"/>
          </w:tcPr>
          <w:p>
            <w:pPr>
              <w:snapToGrid w:val="0"/>
              <w:ind w:firstLine="480" w:firstLineChars="200"/>
              <w:jc w:val="center"/>
              <w:rPr>
                <w:rFonts w:ascii="宋体" w:hAnsi="宋体"/>
                <w:sz w:val="24"/>
                <w:szCs w:val="24"/>
              </w:rPr>
            </w:pPr>
            <w:r>
              <w:rPr>
                <w:rFonts w:hint="eastAsia" w:ascii="宋体" w:hAnsi="宋体"/>
                <w:sz w:val="24"/>
                <w:szCs w:val="24"/>
              </w:rPr>
              <w:t>……</w:t>
            </w:r>
          </w:p>
        </w:tc>
        <w:tc>
          <w:tcPr>
            <w:tcW w:w="1987" w:type="dxa"/>
            <w:vAlign w:val="center"/>
          </w:tcPr>
          <w:p>
            <w:pPr>
              <w:ind w:firstLine="480" w:firstLineChars="200"/>
              <w:jc w:val="center"/>
              <w:rPr>
                <w:rFonts w:ascii="宋体" w:hAnsi="宋体"/>
                <w:sz w:val="24"/>
                <w:szCs w:val="21"/>
              </w:rPr>
            </w:pPr>
          </w:p>
        </w:tc>
        <w:tc>
          <w:tcPr>
            <w:tcW w:w="1515" w:type="dxa"/>
            <w:vAlign w:val="center"/>
          </w:tcPr>
          <w:p>
            <w:pPr>
              <w:ind w:firstLine="480" w:firstLineChars="200"/>
              <w:jc w:val="center"/>
              <w:rPr>
                <w:rFonts w:ascii="宋体" w:hAnsi="宋体"/>
                <w:sz w:val="24"/>
                <w:szCs w:val="21"/>
              </w:rPr>
            </w:pPr>
          </w:p>
        </w:tc>
      </w:tr>
    </w:tbl>
    <w:p>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pPr>
        <w:autoSpaceDE w:val="0"/>
        <w:autoSpaceDN w:val="0"/>
        <w:adjustRightInd w:val="0"/>
        <w:ind w:firstLine="309"/>
        <w:rPr>
          <w:rFonts w:ascii="宋体" w:cs="宋体"/>
          <w:sz w:val="24"/>
          <w:szCs w:val="24"/>
          <w:lang w:val="zh-CN"/>
        </w:rPr>
      </w:pPr>
    </w:p>
    <w:tbl>
      <w:tblPr>
        <w:tblStyle w:val="1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tblPrEx>
          <w:tblCellMar>
            <w:top w:w="0" w:type="dxa"/>
            <w:left w:w="108" w:type="dxa"/>
            <w:bottom w:w="0" w:type="dxa"/>
            <w:right w:w="108" w:type="dxa"/>
          </w:tblCellMar>
        </w:tblPrEx>
        <w:trPr>
          <w:trHeight w:val="882" w:hRule="atLeast"/>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4111" w:type="dxa"/>
            <w:vAlign w:val="center"/>
          </w:tcPr>
          <w:p>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1</w:t>
            </w:r>
          </w:p>
        </w:tc>
        <w:tc>
          <w:tcPr>
            <w:tcW w:w="4111" w:type="dxa"/>
          </w:tcPr>
          <w:p>
            <w:pPr>
              <w:rPr>
                <w:rFonts w:asciiTheme="minorEastAsia" w:hAnsiTheme="minorEastAsia" w:eastAsiaTheme="minorEastAsia"/>
                <w:sz w:val="24"/>
                <w:szCs w:val="24"/>
              </w:rPr>
            </w:pPr>
          </w:p>
        </w:tc>
        <w:tc>
          <w:tcPr>
            <w:tcW w:w="1843" w:type="dxa"/>
            <w:vAlign w:val="center"/>
          </w:tcPr>
          <w:p>
            <w:pPr>
              <w:jc w:val="center"/>
              <w:rPr>
                <w:rFonts w:ascii="宋体" w:hAnsi="宋体"/>
                <w:b/>
                <w:sz w:val="24"/>
                <w:szCs w:val="21"/>
              </w:rPr>
            </w:pPr>
          </w:p>
        </w:tc>
        <w:tc>
          <w:tcPr>
            <w:tcW w:w="2787" w:type="dxa"/>
            <w:vAlign w:val="center"/>
          </w:tcPr>
          <w:p>
            <w:pPr>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2</w:t>
            </w:r>
          </w:p>
        </w:tc>
        <w:tc>
          <w:tcPr>
            <w:tcW w:w="4111" w:type="dxa"/>
          </w:tcPr>
          <w:p>
            <w:pPr>
              <w:rPr>
                <w:rFonts w:asciiTheme="minorEastAsia" w:hAnsiTheme="minorEastAsia" w:eastAsiaTheme="minorEastAsia"/>
                <w:sz w:val="24"/>
                <w:szCs w:val="24"/>
              </w:rPr>
            </w:pP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3</w:t>
            </w:r>
          </w:p>
        </w:tc>
        <w:tc>
          <w:tcPr>
            <w:tcW w:w="4111" w:type="dxa"/>
          </w:tcPr>
          <w:p>
            <w:pPr>
              <w:rPr>
                <w:rFonts w:ascii="宋体" w:hAnsi="宋体"/>
                <w:iCs/>
                <w:sz w:val="24"/>
                <w:szCs w:val="24"/>
              </w:rPr>
            </w:pP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4</w:t>
            </w:r>
          </w:p>
        </w:tc>
        <w:tc>
          <w:tcPr>
            <w:tcW w:w="4111" w:type="dxa"/>
          </w:tcPr>
          <w:p>
            <w:pPr>
              <w:rPr>
                <w:rFonts w:ascii="宋体" w:hAnsi="宋体"/>
                <w:iCs/>
                <w:sz w:val="24"/>
                <w:szCs w:val="24"/>
              </w:rPr>
            </w:pPr>
          </w:p>
        </w:tc>
        <w:tc>
          <w:tcPr>
            <w:tcW w:w="1843" w:type="dxa"/>
            <w:vAlign w:val="center"/>
          </w:tcPr>
          <w:p>
            <w:pPr>
              <w:jc w:val="center"/>
              <w:rPr>
                <w:rFonts w:ascii="宋体" w:hAnsi="宋体"/>
                <w:sz w:val="24"/>
                <w:szCs w:val="21"/>
              </w:rPr>
            </w:pPr>
          </w:p>
        </w:tc>
        <w:tc>
          <w:tcPr>
            <w:tcW w:w="2787" w:type="dxa"/>
            <w:vAlign w:val="center"/>
          </w:tcPr>
          <w:p>
            <w:pPr>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5</w:t>
            </w:r>
          </w:p>
        </w:tc>
        <w:tc>
          <w:tcPr>
            <w:tcW w:w="4111"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jc w:val="center"/>
        <w:rPr>
          <w:rFonts w:ascii="黑体" w:hAnsi="黑体" w:eastAsia="黑体" w:cs="宋体"/>
          <w:b/>
          <w:bCs/>
          <w:sz w:val="32"/>
          <w:szCs w:val="32"/>
          <w:lang w:val="zh-CN"/>
        </w:rPr>
      </w:pPr>
    </w:p>
    <w:tbl>
      <w:tblPr>
        <w:tblStyle w:val="19"/>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投标人为生产企业，应提交的资格材料：动物防疫合格证（或“动物防疫条件合格证”）复印件；生猪定点屠宰证书复印件（加盖单位公章）；食品生产许可证复印件。</w:t>
      </w:r>
    </w:p>
    <w:p>
      <w:pPr>
        <w:snapToGrid w:val="0"/>
        <w:spacing w:line="480" w:lineRule="exact"/>
        <w:ind w:firstLine="480" w:firstLineChars="200"/>
        <w:rPr>
          <w:rFonts w:ascii="宋体" w:hAnsi="宋体"/>
          <w:sz w:val="24"/>
          <w:szCs w:val="24"/>
        </w:rPr>
      </w:pPr>
      <w:r>
        <w:rPr>
          <w:rFonts w:hint="eastAsia" w:ascii="宋体" w:hAnsi="宋体"/>
          <w:sz w:val="24"/>
          <w:szCs w:val="24"/>
        </w:rPr>
        <w:t>投标人为代理商或经销商，除提交代理或经销品牌产品生产企业资格材料外，还应提交代理商或经销商授权书复印件、食品经营许可证复印件。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文件6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pPr>
        <w:autoSpaceDE w:val="0"/>
        <w:autoSpaceDN w:val="0"/>
        <w:adjustRightInd w:val="0"/>
        <w:spacing w:line="440" w:lineRule="exact"/>
        <w:ind w:left="239" w:firstLine="240"/>
        <w:jc w:val="left"/>
        <w:rPr>
          <w:rFonts w:ascii="宋体" w:cs="宋体"/>
          <w:sz w:val="24"/>
          <w:szCs w:val="24"/>
        </w:rPr>
      </w:pPr>
    </w:p>
    <w:p>
      <w:pPr>
        <w:pageBreakBefore/>
        <w:autoSpaceDE w:val="0"/>
        <w:autoSpaceDN w:val="0"/>
        <w:adjustRightInd w:val="0"/>
        <w:spacing w:line="440" w:lineRule="exact"/>
        <w:jc w:val="center"/>
        <w:rPr>
          <w:rFonts w:ascii="宋体" w:hAnsi="宋体" w:cs="黑体"/>
          <w:sz w:val="32"/>
          <w:szCs w:val="32"/>
          <w:lang w:val="zh-CN"/>
        </w:rPr>
      </w:pPr>
      <w:bookmarkStart w:id="35" w:name="_Toc147482219"/>
      <w:bookmarkStart w:id="36" w:name="_Toc147481989"/>
      <w:r>
        <w:rPr>
          <w:rFonts w:hint="eastAsia" w:ascii="宋体" w:hAnsi="宋体" w:cs="宋体"/>
          <w:b/>
          <w:bCs/>
          <w:sz w:val="32"/>
          <w:szCs w:val="32"/>
          <w:lang w:val="zh-CN"/>
        </w:rPr>
        <w:t>具备履行合同所必需的设备和专业技术能力的书面声明</w:t>
      </w:r>
      <w:bookmarkEnd w:id="35"/>
      <w:bookmarkEnd w:id="36"/>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rPr>
          <w:rFonts w:ascii="宋体" w:hAnsi="宋体" w:cs="宋体"/>
          <w:b/>
          <w:bCs/>
          <w:sz w:val="32"/>
          <w:szCs w:val="32"/>
          <w:lang w:val="zh-CN"/>
        </w:rPr>
      </w:pPr>
      <w:bookmarkStart w:id="37" w:name="_Toc147482220"/>
      <w:bookmarkStart w:id="38" w:name="_Toc147481990"/>
      <w:r>
        <w:rPr>
          <w:rFonts w:hint="eastAsia" w:ascii="宋体" w:hAnsi="宋体" w:cs="宋体"/>
          <w:b/>
          <w:bCs/>
          <w:sz w:val="32"/>
          <w:szCs w:val="32"/>
          <w:lang w:val="zh-CN"/>
        </w:rPr>
        <w:t>参加采购活动前三年内在经营活动中没有重大违法记录的书面声明</w:t>
      </w:r>
      <w:bookmarkEnd w:id="37"/>
      <w:bookmarkEnd w:id="38"/>
    </w:p>
    <w:p>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rPr>
          <w:rFonts w:ascii="宋体" w:cs="宋体"/>
          <w:b/>
          <w:bCs/>
          <w:sz w:val="44"/>
          <w:szCs w:val="44"/>
          <w:lang w:val="zh-CN"/>
        </w:rPr>
      </w:pPr>
    </w:p>
    <w:p>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rPr>
          <w:rFonts w:ascii="宋体" w:hAnsi="宋体" w:cs="宋体"/>
          <w:b/>
          <w:bCs/>
          <w:sz w:val="32"/>
          <w:szCs w:val="32"/>
          <w:lang w:val="zh-CN"/>
        </w:rPr>
      </w:pPr>
      <w:bookmarkStart w:id="39" w:name="_Toc147482221"/>
      <w:bookmarkStart w:id="40" w:name="_Toc147481991"/>
      <w:r>
        <w:rPr>
          <w:rFonts w:hint="eastAsia" w:ascii="宋体" w:hAnsi="宋体" w:cs="宋体"/>
          <w:b/>
          <w:bCs/>
          <w:sz w:val="32"/>
          <w:szCs w:val="32"/>
          <w:lang w:val="zh-CN"/>
        </w:rPr>
        <w:t>法人授权书</w:t>
      </w:r>
      <w:bookmarkEnd w:id="39"/>
      <w:bookmarkEnd w:id="40"/>
    </w:p>
    <w:p>
      <w:pPr>
        <w:tabs>
          <w:tab w:val="left" w:pos="360"/>
        </w:tabs>
        <w:autoSpaceDE w:val="0"/>
        <w:autoSpaceDN w:val="0"/>
        <w:adjustRightInd w:val="0"/>
        <w:ind w:firstLine="480"/>
        <w:rPr>
          <w:rFonts w:ascii="宋体" w:cs="宋体"/>
          <w:sz w:val="24"/>
          <w:szCs w:val="24"/>
          <w:lang w:val="zh-CN"/>
        </w:rPr>
      </w:pPr>
    </w:p>
    <w:p>
      <w:pPr>
        <w:tabs>
          <w:tab w:val="left" w:pos="360"/>
        </w:tabs>
        <w:autoSpaceDE w:val="0"/>
        <w:autoSpaceDN w:val="0"/>
        <w:adjustRightInd w:val="0"/>
        <w:spacing w:line="440" w:lineRule="exact"/>
        <w:ind w:firstLine="480"/>
        <w:rPr>
          <w:rFonts w:ascii="宋体" w:cs="宋体"/>
          <w:sz w:val="24"/>
          <w:szCs w:val="24"/>
          <w:lang w:val="zh-CN"/>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pPr>
        <w:tabs>
          <w:tab w:val="left" w:pos="360"/>
        </w:tabs>
        <w:autoSpaceDE w:val="0"/>
        <w:autoSpaceDN w:val="0"/>
        <w:adjustRightInd w:val="0"/>
        <w:spacing w:line="440" w:lineRule="exact"/>
        <w:rPr>
          <w:sz w:val="24"/>
          <w:szCs w:val="24"/>
        </w:rPr>
      </w:pPr>
      <w:r>
        <w:rPr>
          <w:sz w:val="24"/>
          <w:szCs w:val="24"/>
        </w:rPr>
        <w:t xml:space="preserve">          </w:t>
      </w:r>
    </w:p>
    <w:p>
      <w:pPr>
        <w:tabs>
          <w:tab w:val="left" w:pos="360"/>
        </w:tabs>
        <w:autoSpaceDE w:val="0"/>
        <w:autoSpaceDN w:val="0"/>
        <w:adjustRightInd w:val="0"/>
        <w:spacing w:line="440" w:lineRule="exact"/>
        <w:rPr>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autoSpaceDE w:val="0"/>
        <w:autoSpaceDN w:val="0"/>
        <w:adjustRightInd w:val="0"/>
        <w:spacing w:line="560" w:lineRule="exact"/>
        <w:rPr>
          <w:rFonts w:ascii="黑体" w:eastAsia="黑体" w:cs="黑体"/>
          <w:b/>
          <w:bCs/>
          <w:sz w:val="32"/>
          <w:szCs w:val="32"/>
          <w:lang w:val="zh-CN"/>
        </w:rPr>
      </w:pPr>
    </w:p>
    <w:p>
      <w:pPr>
        <w:pageBreakBefore/>
        <w:jc w:val="center"/>
        <w:rPr>
          <w:rFonts w:ascii="宋体" w:hAnsi="宋体"/>
          <w:b/>
          <w:sz w:val="32"/>
          <w:szCs w:val="32"/>
        </w:rPr>
      </w:pPr>
      <w:r>
        <w:rPr>
          <w:rFonts w:hint="eastAsia" w:ascii="宋体" w:hAnsi="宋体"/>
          <w:b/>
          <w:sz w:val="32"/>
          <w:szCs w:val="32"/>
        </w:rPr>
        <w:t>代理商或经销商授权书</w:t>
      </w:r>
    </w:p>
    <w:p>
      <w:pPr>
        <w:spacing w:after="240" w:afterLines="100"/>
        <w:rPr>
          <w:rFonts w:ascii="仿宋_GB2312" w:hAnsi="仿宋" w:eastAsia="仿宋_GB2312"/>
          <w:sz w:val="28"/>
          <w:szCs w:val="28"/>
        </w:rPr>
      </w:pPr>
    </w:p>
    <w:p>
      <w:pPr>
        <w:spacing w:line="60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（生产企业名称）授权</w:t>
      </w:r>
      <w:r>
        <w:rPr>
          <w:rFonts w:hint="eastAsia" w:ascii="宋体" w:hAnsi="宋体" w:cs="宋体"/>
          <w:sz w:val="24"/>
          <w:szCs w:val="24"/>
          <w:u w:val="single"/>
        </w:rPr>
        <w:t xml:space="preserve">                       </w:t>
      </w:r>
      <w:r>
        <w:rPr>
          <w:rFonts w:hint="eastAsia" w:ascii="宋体" w:hAnsi="宋体" w:cs="宋体"/>
          <w:sz w:val="24"/>
          <w:szCs w:val="24"/>
        </w:rPr>
        <w:t xml:space="preserve">（投标单位名称）为我单位 </w:t>
      </w:r>
      <w:r>
        <w:rPr>
          <w:rFonts w:hint="eastAsia" w:ascii="宋体" w:hAnsi="宋体" w:cs="宋体"/>
          <w:sz w:val="24"/>
          <w:szCs w:val="24"/>
          <w:u w:val="single"/>
        </w:rPr>
        <w:t xml:space="preserve">              </w:t>
      </w:r>
      <w:r>
        <w:rPr>
          <w:rFonts w:hint="eastAsia" w:ascii="宋体" w:hAnsi="宋体" w:cs="宋体"/>
          <w:sz w:val="24"/>
          <w:szCs w:val="24"/>
        </w:rPr>
        <w:t>的销售代理，从事</w:t>
      </w:r>
      <w:r>
        <w:rPr>
          <w:rFonts w:hint="eastAsia" w:ascii="宋体" w:hAnsi="宋体" w:cs="宋体"/>
          <w:sz w:val="24"/>
          <w:szCs w:val="24"/>
          <w:u w:val="single"/>
        </w:rPr>
        <w:t xml:space="preserve"> </w:t>
      </w:r>
      <w:r>
        <w:rPr>
          <w:rFonts w:hint="eastAsia" w:ascii="宋体" w:hAnsi="宋体" w:cs="宋体"/>
          <w:b/>
          <w:sz w:val="24"/>
          <w:szCs w:val="24"/>
          <w:u w:val="single"/>
        </w:rPr>
        <w:t>盐城地区</w:t>
      </w:r>
      <w:r>
        <w:rPr>
          <w:rFonts w:hint="eastAsia" w:ascii="宋体" w:hAnsi="宋体" w:cs="宋体"/>
          <w:sz w:val="24"/>
          <w:szCs w:val="24"/>
          <w:u w:val="single"/>
        </w:rPr>
        <w:t xml:space="preserve">  </w:t>
      </w:r>
      <w:r>
        <w:rPr>
          <w:rFonts w:hint="eastAsia" w:ascii="宋体" w:hAnsi="宋体" w:cs="宋体"/>
          <w:sz w:val="24"/>
          <w:szCs w:val="24"/>
        </w:rPr>
        <w:t>区域的产品销售和服务。</w:t>
      </w:r>
    </w:p>
    <w:p>
      <w:pPr>
        <w:spacing w:line="600" w:lineRule="exact"/>
        <w:ind w:firstLine="480" w:firstLineChars="200"/>
        <w:rPr>
          <w:rFonts w:ascii="宋体" w:hAnsi="宋体" w:cs="宋体"/>
          <w:sz w:val="24"/>
          <w:szCs w:val="24"/>
        </w:rPr>
      </w:pPr>
      <w:r>
        <w:rPr>
          <w:rFonts w:hint="eastAsia" w:ascii="宋体" w:hAnsi="宋体" w:cs="宋体"/>
          <w:sz w:val="24"/>
          <w:szCs w:val="24"/>
        </w:rPr>
        <w:t>授权期限为</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600" w:lineRule="exact"/>
        <w:ind w:firstLine="480" w:firstLineChars="200"/>
        <w:rPr>
          <w:rFonts w:ascii="宋体" w:hAnsi="宋体" w:cs="宋体"/>
          <w:sz w:val="24"/>
          <w:szCs w:val="24"/>
        </w:rPr>
      </w:pPr>
    </w:p>
    <w:p>
      <w:pPr>
        <w:spacing w:line="600" w:lineRule="exact"/>
        <w:ind w:firstLine="480" w:firstLineChars="200"/>
        <w:rPr>
          <w:rFonts w:ascii="宋体" w:hAnsi="宋体" w:cs="宋体"/>
          <w:sz w:val="24"/>
          <w:szCs w:val="24"/>
        </w:rPr>
      </w:pPr>
    </w:p>
    <w:p>
      <w:pPr>
        <w:spacing w:line="600" w:lineRule="exact"/>
        <w:ind w:firstLine="480" w:firstLineChars="200"/>
        <w:rPr>
          <w:rFonts w:ascii="宋体" w:hAnsi="宋体" w:cs="宋体"/>
          <w:sz w:val="24"/>
          <w:szCs w:val="24"/>
          <w:u w:val="single"/>
        </w:rPr>
      </w:pPr>
      <w:r>
        <w:rPr>
          <w:rFonts w:hint="eastAsia" w:ascii="宋体" w:hAnsi="宋体" w:cs="宋体"/>
          <w:sz w:val="24"/>
          <w:szCs w:val="24"/>
        </w:rPr>
        <w:t xml:space="preserve">                        授权单位（盖章）： </w:t>
      </w:r>
      <w:r>
        <w:rPr>
          <w:rFonts w:hint="eastAsia" w:ascii="宋体" w:hAnsi="宋体" w:cs="宋体"/>
          <w:sz w:val="24"/>
          <w:szCs w:val="24"/>
          <w:u w:val="single"/>
        </w:rPr>
        <w:t xml:space="preserve">                        </w:t>
      </w:r>
    </w:p>
    <w:p>
      <w:pPr>
        <w:spacing w:line="600" w:lineRule="exact"/>
        <w:ind w:firstLine="3360" w:firstLineChars="1400"/>
        <w:rPr>
          <w:rFonts w:ascii="宋体" w:hAnsi="宋体" w:cs="宋体"/>
          <w:sz w:val="24"/>
          <w:szCs w:val="24"/>
        </w:rPr>
      </w:pPr>
      <w:r>
        <w:rPr>
          <w:rFonts w:hint="eastAsia" w:ascii="宋体" w:hAnsi="宋体"/>
          <w:sz w:val="24"/>
          <w:szCs w:val="24"/>
        </w:rPr>
        <w:t>法定代表人或授权代理人（签名）：</w:t>
      </w:r>
      <w:r>
        <w:rPr>
          <w:rFonts w:hint="eastAsia" w:ascii="宋体" w:hAnsi="宋体"/>
          <w:sz w:val="24"/>
          <w:szCs w:val="24"/>
          <w:u w:val="single"/>
        </w:rPr>
        <w:t xml:space="preserve">          </w:t>
      </w:r>
    </w:p>
    <w:p>
      <w:pPr>
        <w:autoSpaceDE w:val="0"/>
        <w:autoSpaceDN w:val="0"/>
        <w:adjustRightInd w:val="0"/>
        <w:spacing w:line="600" w:lineRule="exact"/>
        <w:ind w:firstLine="3420" w:firstLineChars="1425"/>
        <w:rPr>
          <w:rFonts w:ascii="宋体" w:hAnsi="宋体" w:cs="宋体"/>
          <w:sz w:val="24"/>
          <w:szCs w:val="24"/>
          <w:lang w:val="zh-CN"/>
        </w:rPr>
      </w:pPr>
      <w:r>
        <w:rPr>
          <w:rFonts w:hint="eastAsia" w:ascii="宋体" w:hAnsi="宋体" w:cs="宋体"/>
          <w:sz w:val="24"/>
          <w:szCs w:val="24"/>
          <w:lang w:val="zh-CN"/>
        </w:rPr>
        <w:t>日期：________年_______月___</w:t>
      </w:r>
      <w:r>
        <w:rPr>
          <w:rFonts w:hint="eastAsia" w:ascii="宋体" w:hAnsi="宋体" w:cs="宋体"/>
          <w:sz w:val="24"/>
          <w:szCs w:val="24"/>
          <w:u w:val="single"/>
          <w:lang w:val="zh-CN"/>
        </w:rPr>
        <w:t xml:space="preserve">  </w:t>
      </w:r>
      <w:r>
        <w:rPr>
          <w:rFonts w:hint="eastAsia" w:ascii="宋体" w:hAnsi="宋体" w:cs="宋体"/>
          <w:sz w:val="24"/>
          <w:szCs w:val="24"/>
          <w:lang w:val="zh-CN"/>
        </w:rPr>
        <w:t>___日</w:t>
      </w:r>
    </w:p>
    <w:p>
      <w:pPr>
        <w:tabs>
          <w:tab w:val="left" w:pos="360"/>
        </w:tabs>
        <w:autoSpaceDE w:val="0"/>
        <w:autoSpaceDN w:val="0"/>
        <w:adjustRightInd w:val="0"/>
        <w:spacing w:line="520" w:lineRule="exact"/>
        <w:ind w:firstLine="480"/>
        <w:rPr>
          <w:sz w:val="24"/>
          <w:szCs w:val="24"/>
        </w:rPr>
      </w:pPr>
    </w:p>
    <w:p>
      <w:pPr>
        <w:tabs>
          <w:tab w:val="left" w:pos="953"/>
        </w:tabs>
        <w:jc w:val="center"/>
        <w:rPr>
          <w:rFonts w:ascii="宋体" w:hAnsi="宋体" w:cs="黑体"/>
          <w:b/>
          <w:sz w:val="32"/>
          <w:szCs w:val="32"/>
        </w:rPr>
      </w:pPr>
      <w:r>
        <w:rPr>
          <w:rFonts w:ascii="宋体" w:hAnsi="宋体" w:cs="黑体"/>
          <w:b/>
          <w:sz w:val="32"/>
          <w:szCs w:val="32"/>
        </w:rPr>
        <w:br w:type="page"/>
      </w:r>
    </w:p>
    <w:p>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jc w:val="center"/>
        <w:rPr>
          <w:rFonts w:ascii="黑体" w:eastAsia="黑体" w:cs="黑体"/>
          <w:sz w:val="32"/>
          <w:szCs w:val="32"/>
          <w:lang w:val="zh-CN"/>
        </w:rPr>
      </w:pPr>
    </w:p>
    <w:tbl>
      <w:tblPr>
        <w:tblStyle w:val="19"/>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pPr>
              <w:keepNext/>
              <w:keepLines/>
              <w:autoSpaceDE w:val="0"/>
              <w:autoSpaceDN w:val="0"/>
              <w:adjustRightInd w:val="0"/>
              <w:spacing w:line="420" w:lineRule="exact"/>
              <w:jc w:val="center"/>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vMerge w:val="restart"/>
            <w:tcBorders>
              <w:right w:val="single" w:color="auto" w:sz="4" w:space="0"/>
            </w:tcBorders>
            <w:vAlign w:val="center"/>
          </w:tcPr>
          <w:p>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项目投标报价</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rPr>
                <w:rFonts w:ascii="宋体" w:hAnsi="Arial" w:cs="宋体"/>
                <w:sz w:val="24"/>
                <w:lang w:val="zh-CN"/>
              </w:rPr>
            </w:pPr>
            <w:r>
              <w:rPr>
                <w:rFonts w:hint="eastAsia" w:ascii="宋体" w:hAnsi="Arial" w:cs="宋体"/>
                <w:sz w:val="24"/>
                <w:szCs w:val="24"/>
                <w:lang w:val="zh-CN"/>
              </w:rPr>
              <w:t>猪肉投标浮动率：</w:t>
            </w:r>
          </w:p>
          <w:p>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浮动率大写：</w:t>
            </w:r>
            <w:r>
              <w:rPr>
                <w:rFonts w:hint="eastAsia" w:ascii="宋体" w:hAnsi="Arial" w:cs="宋体"/>
                <w:sz w:val="24"/>
                <w:u w:val="single"/>
                <w:lang w:val="zh-CN"/>
              </w:rPr>
              <w:t xml:space="preserve">                  </w:t>
            </w:r>
          </w:p>
          <w:p>
            <w:pPr>
              <w:autoSpaceDE w:val="0"/>
              <w:autoSpaceDN w:val="0"/>
              <w:adjustRightInd w:val="0"/>
              <w:spacing w:line="480" w:lineRule="auto"/>
              <w:ind w:firstLine="720" w:firstLineChars="300"/>
              <w:rPr>
                <w:rFonts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 </w:t>
            </w:r>
            <w:r>
              <w:rPr>
                <w:rFonts w:hint="eastAsia" w:ascii="宋体" w:hAnsi="Arial" w:cs="宋体"/>
                <w:sz w:val="24"/>
                <w:lang w:val="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vMerge w:val="continue"/>
            <w:tcBorders>
              <w:bottom w:val="single" w:color="auto" w:sz="4" w:space="0"/>
              <w:right w:val="single" w:color="auto" w:sz="4" w:space="0"/>
            </w:tcBorders>
            <w:vAlign w:val="center"/>
          </w:tcPr>
          <w:p>
            <w:pPr>
              <w:autoSpaceDE w:val="0"/>
              <w:autoSpaceDN w:val="0"/>
              <w:adjustRightInd w:val="0"/>
              <w:spacing w:line="420" w:lineRule="exact"/>
              <w:jc w:val="center"/>
              <w:rPr>
                <w:rFonts w:ascii="宋体" w:hAnsi="宋体"/>
                <w:sz w:val="24"/>
                <w:szCs w:val="24"/>
              </w:rPr>
            </w:pP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80" w:lineRule="auto"/>
              <w:rPr>
                <w:rFonts w:ascii="宋体" w:hAnsi="Arial" w:cs="宋体"/>
                <w:sz w:val="24"/>
                <w:szCs w:val="24"/>
                <w:lang w:val="zh-CN"/>
              </w:rPr>
            </w:pPr>
            <w:r>
              <w:rPr>
                <w:rFonts w:hint="eastAsia" w:ascii="宋体" w:hAnsi="Arial" w:cs="宋体"/>
                <w:sz w:val="24"/>
                <w:szCs w:val="24"/>
                <w:lang w:val="zh-CN"/>
              </w:rPr>
              <w:t>其他猪肉产品投标</w:t>
            </w:r>
            <w:r>
              <w:rPr>
                <w:rFonts w:hint="eastAsia" w:ascii="宋体" w:hAnsi="Arial" w:cs="宋体"/>
                <w:sz w:val="24"/>
                <w:szCs w:val="24"/>
              </w:rPr>
              <w:t>总</w:t>
            </w:r>
            <w:r>
              <w:rPr>
                <w:rFonts w:hint="eastAsia" w:ascii="宋体" w:hAnsi="Arial" w:cs="宋体"/>
                <w:sz w:val="24"/>
                <w:szCs w:val="24"/>
                <w:lang w:val="zh-CN"/>
              </w:rPr>
              <w:t>报价：</w:t>
            </w:r>
          </w:p>
          <w:p>
            <w:pPr>
              <w:autoSpaceDE w:val="0"/>
              <w:autoSpaceDN w:val="0"/>
              <w:adjustRightInd w:val="0"/>
              <w:spacing w:line="360" w:lineRule="auto"/>
              <w:rPr>
                <w:rFonts w:ascii="宋体" w:hAnsi="Arial" w:cs="宋体"/>
                <w:sz w:val="24"/>
                <w:lang w:val="zh-CN"/>
              </w:rPr>
            </w:pPr>
            <w:r>
              <w:rPr>
                <w:rFonts w:hint="eastAsia" w:ascii="宋体" w:hAnsi="Arial" w:cs="宋体"/>
                <w:sz w:val="24"/>
                <w:lang w:val="zh-CN"/>
              </w:rPr>
              <w:t>大写：</w:t>
            </w:r>
            <w:r>
              <w:rPr>
                <w:rFonts w:hint="eastAsia" w:ascii="宋体" w:hAnsi="Arial" w:cs="宋体"/>
                <w:sz w:val="24"/>
                <w:u w:val="single"/>
                <w:lang w:val="zh-CN"/>
              </w:rPr>
              <w:t xml:space="preserve">                        </w:t>
            </w:r>
          </w:p>
          <w:p>
            <w:pPr>
              <w:autoSpaceDE w:val="0"/>
              <w:autoSpaceDN w:val="0"/>
              <w:adjustRightInd w:val="0"/>
              <w:spacing w:line="360" w:lineRule="auto"/>
              <w:rPr>
                <w:rFonts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                    </w:t>
            </w:r>
            <w:r>
              <w:rPr>
                <w:rFonts w:hint="eastAsia" w:ascii="宋体" w:hAnsi="Arial" w:cs="宋体"/>
                <w:sz w:val="24"/>
                <w:lang w:val="zh-CN"/>
              </w:rPr>
              <w:t xml:space="preserve"> </w:t>
            </w: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pPr>
        <w:autoSpaceDE w:val="0"/>
        <w:autoSpaceDN w:val="0"/>
        <w:adjustRightInd w:val="0"/>
        <w:spacing w:line="44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pPr>
        <w:spacing w:line="440" w:lineRule="exact"/>
        <w:jc w:val="left"/>
        <w:rPr>
          <w:rFonts w:ascii="宋体" w:hAnsi="宋体"/>
          <w:kern w:val="0"/>
          <w:sz w:val="24"/>
          <w:szCs w:val="24"/>
        </w:rPr>
      </w:pPr>
      <w:r>
        <w:rPr>
          <w:rFonts w:hint="eastAsia" w:ascii="宋体" w:hAnsi="宋体" w:cs="宋体"/>
          <w:bCs/>
          <w:kern w:val="0"/>
          <w:sz w:val="24"/>
          <w:szCs w:val="24"/>
        </w:rPr>
        <w:t>盐城师范学院：</w:t>
      </w:r>
    </w:p>
    <w:p>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p>
      <w:pPr>
        <w:spacing w:after="100" w:afterAutospacing="1" w:line="440" w:lineRule="exact"/>
        <w:jc w:val="center"/>
        <w:rPr>
          <w:rFonts w:ascii="宋体" w:hAnsi="宋体" w:cs="宋体"/>
          <w:b/>
          <w:kern w:val="0"/>
          <w:sz w:val="24"/>
          <w:szCs w:val="24"/>
        </w:rPr>
      </w:pPr>
      <w:r>
        <w:rPr>
          <w:rFonts w:hint="eastAsia" w:ascii="宋体" w:hAnsi="宋体" w:cs="宋体"/>
          <w:b/>
          <w:bCs/>
          <w:kern w:val="0"/>
          <w:sz w:val="24"/>
        </w:rPr>
        <w:t>凌家塘猪肉品</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290"/>
        <w:gridCol w:w="4871"/>
        <w:gridCol w:w="162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29" w:type="dxa"/>
            <w:vAlign w:val="center"/>
          </w:tcPr>
          <w:p>
            <w:pPr>
              <w:widowControl/>
              <w:snapToGrid w:val="0"/>
              <w:jc w:val="center"/>
              <w:rPr>
                <w:rFonts w:ascii="宋体" w:hAnsi="宋体" w:cs="宋体"/>
                <w:bCs/>
                <w:kern w:val="0"/>
                <w:sz w:val="24"/>
              </w:rPr>
            </w:pPr>
            <w:r>
              <w:rPr>
                <w:rFonts w:hint="eastAsia" w:ascii="宋体" w:hAnsi="宋体" w:cs="宋体"/>
                <w:bCs/>
                <w:kern w:val="0"/>
                <w:sz w:val="24"/>
              </w:rPr>
              <w:t>序号</w:t>
            </w:r>
          </w:p>
        </w:tc>
        <w:tc>
          <w:tcPr>
            <w:tcW w:w="1290" w:type="dxa"/>
            <w:vAlign w:val="center"/>
          </w:tcPr>
          <w:p>
            <w:pPr>
              <w:widowControl/>
              <w:snapToGrid w:val="0"/>
              <w:jc w:val="center"/>
              <w:rPr>
                <w:rFonts w:ascii="宋体" w:hAnsi="宋体" w:cs="宋体"/>
                <w:bCs/>
                <w:kern w:val="0"/>
                <w:sz w:val="24"/>
              </w:rPr>
            </w:pPr>
            <w:r>
              <w:rPr>
                <w:rFonts w:hint="eastAsia" w:ascii="宋体" w:hAnsi="宋体" w:cs="宋体"/>
                <w:bCs/>
                <w:kern w:val="0"/>
                <w:sz w:val="24"/>
              </w:rPr>
              <w:t>货物名称</w:t>
            </w:r>
          </w:p>
        </w:tc>
        <w:tc>
          <w:tcPr>
            <w:tcW w:w="4871" w:type="dxa"/>
            <w:vAlign w:val="center"/>
          </w:tcPr>
          <w:p>
            <w:pPr>
              <w:widowControl/>
              <w:snapToGrid w:val="0"/>
              <w:jc w:val="center"/>
              <w:rPr>
                <w:rFonts w:ascii="宋体" w:hAnsi="宋体" w:cs="楷体"/>
                <w:sz w:val="24"/>
                <w:szCs w:val="24"/>
              </w:rPr>
            </w:pPr>
            <w:r>
              <w:rPr>
                <w:rFonts w:hint="eastAsia" w:ascii="宋体" w:hAnsi="宋体" w:cs="楷体"/>
                <w:sz w:val="24"/>
                <w:szCs w:val="24"/>
              </w:rPr>
              <w:t>最高限价</w:t>
            </w:r>
          </w:p>
        </w:tc>
        <w:tc>
          <w:tcPr>
            <w:tcW w:w="1620" w:type="dxa"/>
            <w:vAlign w:val="center"/>
          </w:tcPr>
          <w:p>
            <w:pPr>
              <w:widowControl/>
              <w:snapToGrid w:val="0"/>
              <w:jc w:val="center"/>
              <w:rPr>
                <w:rFonts w:ascii="宋体" w:hAnsi="宋体" w:cs="宋体"/>
                <w:bCs/>
                <w:kern w:val="0"/>
                <w:sz w:val="24"/>
              </w:rPr>
            </w:pPr>
            <w:r>
              <w:rPr>
                <w:rFonts w:hint="eastAsia" w:ascii="宋体" w:hAnsi="宋体" w:cs="楷体"/>
                <w:sz w:val="24"/>
                <w:szCs w:val="24"/>
              </w:rPr>
              <w:t>投标</w:t>
            </w:r>
            <w:r>
              <w:rPr>
                <w:rFonts w:hint="eastAsia" w:ascii="宋体" w:hAnsi="宋体" w:cs="宋体"/>
                <w:bCs/>
                <w:kern w:val="0"/>
                <w:sz w:val="24"/>
              </w:rPr>
              <w:t>浮动率</w:t>
            </w:r>
            <w:r>
              <w:rPr>
                <w:rFonts w:hint="eastAsia" w:ascii="宋体" w:hAnsi="Arial" w:cs="宋体"/>
                <w:sz w:val="24"/>
                <w:szCs w:val="24"/>
                <w:lang w:val="zh-CN"/>
              </w:rPr>
              <w:t>%</w:t>
            </w:r>
          </w:p>
        </w:tc>
        <w:tc>
          <w:tcPr>
            <w:tcW w:w="987" w:type="dxa"/>
            <w:vAlign w:val="center"/>
          </w:tcPr>
          <w:p>
            <w:pPr>
              <w:widowControl/>
              <w:snapToGrid w:val="0"/>
              <w:jc w:val="center"/>
              <w:rPr>
                <w:rFonts w:ascii="宋体" w:hAnsi="宋体" w:cs="宋体"/>
                <w:bCs/>
                <w:kern w:val="0"/>
                <w:sz w:val="24"/>
              </w:rPr>
            </w:pPr>
            <w:r>
              <w:rPr>
                <w:rFonts w:hint="eastAsia" w:ascii="宋体" w:hAnsi="宋体" w:cs="宋体"/>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929" w:type="dxa"/>
            <w:vAlign w:val="center"/>
          </w:tcPr>
          <w:p>
            <w:pPr>
              <w:widowControl/>
              <w:snapToGrid w:val="0"/>
              <w:jc w:val="center"/>
              <w:rPr>
                <w:rFonts w:ascii="宋体" w:hAnsi="宋体" w:cs="宋体"/>
                <w:bCs/>
                <w:kern w:val="0"/>
                <w:sz w:val="24"/>
              </w:rPr>
            </w:pPr>
            <w:r>
              <w:rPr>
                <w:rFonts w:hint="eastAsia" w:ascii="宋体" w:hAnsi="宋体" w:cs="宋体"/>
                <w:bCs/>
                <w:kern w:val="0"/>
                <w:sz w:val="24"/>
              </w:rPr>
              <w:t>1</w:t>
            </w:r>
          </w:p>
        </w:tc>
        <w:tc>
          <w:tcPr>
            <w:tcW w:w="1290" w:type="dxa"/>
            <w:vAlign w:val="center"/>
          </w:tcPr>
          <w:p>
            <w:pPr>
              <w:widowControl/>
              <w:snapToGrid w:val="0"/>
              <w:jc w:val="center"/>
              <w:rPr>
                <w:rFonts w:ascii="宋体" w:hAnsi="宋体" w:cs="宋体"/>
                <w:bCs/>
                <w:kern w:val="0"/>
                <w:sz w:val="24"/>
              </w:rPr>
            </w:pPr>
            <w:r>
              <w:rPr>
                <w:rFonts w:hint="eastAsia" w:ascii="宋体" w:hAnsi="宋体" w:cs="宋体"/>
                <w:bCs/>
                <w:kern w:val="0"/>
                <w:sz w:val="24"/>
              </w:rPr>
              <w:t>凌家塘猪肉品（详见凌家塘猪肉品种清单表）</w:t>
            </w:r>
          </w:p>
        </w:tc>
        <w:tc>
          <w:tcPr>
            <w:tcW w:w="4871" w:type="dxa"/>
            <w:vAlign w:val="center"/>
          </w:tcPr>
          <w:p>
            <w:pPr>
              <w:widowControl/>
              <w:snapToGrid w:val="0"/>
              <w:jc w:val="left"/>
              <w:rPr>
                <w:rFonts w:ascii="宋体" w:hAnsi="宋体" w:cs="宋体"/>
                <w:bCs/>
                <w:kern w:val="0"/>
                <w:sz w:val="24"/>
              </w:rPr>
            </w:pPr>
            <w:r>
              <w:rPr>
                <w:rFonts w:hint="eastAsia" w:ascii="宋体" w:hAnsi="宋体" w:cs="楷体"/>
                <w:kern w:val="0"/>
                <w:sz w:val="24"/>
                <w:szCs w:val="24"/>
              </w:rPr>
              <w:t>以江苏凌家塘市场发展有限公司网站公布的，</w:t>
            </w:r>
            <w:bookmarkStart w:id="41" w:name="_GoBack"/>
            <w:bookmarkEnd w:id="41"/>
            <w:r>
              <w:rPr>
                <w:rFonts w:hint="eastAsia" w:ascii="宋体" w:hAnsi="宋体" w:cs="楷体"/>
                <w:kern w:val="0"/>
                <w:sz w:val="24"/>
                <w:szCs w:val="24"/>
              </w:rPr>
              <w:t>凌家塘市场菜价公示，“荤食”区鲜猪肉产品最底价为依据，在最底价基础上（报浮动率%）进行报价。浮动率上浮不得超过20%，否则为无效报价。</w:t>
            </w:r>
          </w:p>
        </w:tc>
        <w:tc>
          <w:tcPr>
            <w:tcW w:w="1620" w:type="dxa"/>
            <w:vAlign w:val="center"/>
          </w:tcPr>
          <w:p>
            <w:pPr>
              <w:widowControl/>
              <w:snapToGrid w:val="0"/>
              <w:jc w:val="center"/>
              <w:rPr>
                <w:rFonts w:ascii="宋体" w:hAnsi="宋体" w:cs="宋体"/>
                <w:bCs/>
                <w:kern w:val="0"/>
                <w:sz w:val="24"/>
              </w:rPr>
            </w:pPr>
          </w:p>
        </w:tc>
        <w:tc>
          <w:tcPr>
            <w:tcW w:w="987" w:type="dxa"/>
            <w:vAlign w:val="center"/>
          </w:tcPr>
          <w:p>
            <w:pPr>
              <w:widowControl/>
              <w:snapToGrid w:val="0"/>
              <w:jc w:val="center"/>
              <w:rPr>
                <w:rFonts w:ascii="宋体" w:hAnsi="宋体" w:cs="宋体"/>
                <w:bCs/>
                <w:kern w:val="0"/>
                <w:sz w:val="24"/>
              </w:rPr>
            </w:pPr>
          </w:p>
        </w:tc>
      </w:tr>
    </w:tbl>
    <w:p>
      <w:pPr>
        <w:pStyle w:val="49"/>
        <w:spacing w:before="100" w:beforeAutospacing="1" w:after="100" w:afterAutospacing="1"/>
        <w:ind w:left="0"/>
        <w:jc w:val="center"/>
        <w:rPr>
          <w:rFonts w:ascii="宋体" w:hAnsi="宋体" w:cs="楷体"/>
          <w:b/>
          <w:bCs/>
          <w:szCs w:val="28"/>
        </w:rPr>
      </w:pPr>
      <w:r>
        <w:rPr>
          <w:rFonts w:hint="eastAsia" w:ascii="宋体" w:hAnsi="宋体" w:cs="楷体"/>
          <w:b/>
          <w:bCs/>
          <w:szCs w:val="28"/>
        </w:rPr>
        <w:t>其他猪肉产品</w:t>
      </w:r>
    </w:p>
    <w:tbl>
      <w:tblPr>
        <w:tblStyle w:val="19"/>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1567"/>
        <w:gridCol w:w="1236"/>
        <w:gridCol w:w="1566"/>
        <w:gridCol w:w="1566"/>
        <w:gridCol w:w="156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763" w:type="dxa"/>
            <w:vAlign w:val="center"/>
          </w:tcPr>
          <w:p>
            <w:pPr>
              <w:adjustRightInd w:val="0"/>
              <w:snapToGrid w:val="0"/>
              <w:jc w:val="center"/>
              <w:rPr>
                <w:rFonts w:ascii="宋体" w:hAnsi="宋体" w:cs="楷体"/>
                <w:sz w:val="24"/>
                <w:szCs w:val="24"/>
              </w:rPr>
            </w:pPr>
            <w:r>
              <w:rPr>
                <w:rFonts w:hint="eastAsia" w:ascii="宋体" w:hAnsi="宋体" w:cs="楷体"/>
                <w:sz w:val="24"/>
                <w:szCs w:val="24"/>
              </w:rPr>
              <w:t>序号</w:t>
            </w:r>
          </w:p>
        </w:tc>
        <w:tc>
          <w:tcPr>
            <w:tcW w:w="1567"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品名</w:t>
            </w:r>
          </w:p>
        </w:tc>
        <w:tc>
          <w:tcPr>
            <w:tcW w:w="1236" w:type="dxa"/>
            <w:vAlign w:val="center"/>
          </w:tcPr>
          <w:p>
            <w:pPr>
              <w:adjustRightInd w:val="0"/>
              <w:snapToGrid w:val="0"/>
              <w:jc w:val="center"/>
              <w:rPr>
                <w:rFonts w:ascii="宋体" w:hAnsi="宋体" w:cs="楷体"/>
                <w:sz w:val="24"/>
                <w:szCs w:val="24"/>
              </w:rPr>
            </w:pPr>
            <w:r>
              <w:rPr>
                <w:rFonts w:hint="eastAsia" w:ascii="宋体" w:hAnsi="宋体" w:cs="楷体"/>
                <w:sz w:val="24"/>
                <w:szCs w:val="24"/>
              </w:rPr>
              <w:t>计量单位</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预计采购量</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最高限价</w:t>
            </w:r>
          </w:p>
          <w:p>
            <w:pPr>
              <w:adjustRightInd w:val="0"/>
              <w:snapToGrid w:val="0"/>
              <w:jc w:val="center"/>
              <w:rPr>
                <w:rFonts w:ascii="宋体" w:hAnsi="宋体" w:cs="楷体"/>
                <w:sz w:val="24"/>
                <w:szCs w:val="24"/>
              </w:rPr>
            </w:pPr>
            <w:r>
              <w:rPr>
                <w:rFonts w:hint="eastAsia" w:ascii="宋体" w:hAnsi="宋体" w:cs="楷体"/>
                <w:sz w:val="24"/>
                <w:szCs w:val="24"/>
              </w:rPr>
              <w:t>（元）</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投标单价</w:t>
            </w:r>
          </w:p>
          <w:p>
            <w:pPr>
              <w:adjustRightInd w:val="0"/>
              <w:snapToGrid w:val="0"/>
              <w:jc w:val="center"/>
              <w:rPr>
                <w:rFonts w:ascii="宋体" w:hAnsi="宋体" w:cs="楷体"/>
                <w:sz w:val="24"/>
                <w:szCs w:val="24"/>
              </w:rPr>
            </w:pPr>
            <w:r>
              <w:rPr>
                <w:rFonts w:hint="eastAsia" w:ascii="宋体" w:hAnsi="宋体" w:cs="楷体"/>
                <w:sz w:val="24"/>
                <w:szCs w:val="24"/>
              </w:rPr>
              <w:t>（元）</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投标总价</w:t>
            </w:r>
          </w:p>
          <w:p>
            <w:pPr>
              <w:adjustRightInd w:val="0"/>
              <w:snapToGrid w:val="0"/>
              <w:jc w:val="center"/>
              <w:rPr>
                <w:rFonts w:ascii="宋体" w:hAnsi="宋体" w:cs="楷体"/>
                <w:sz w:val="24"/>
                <w:szCs w:val="24"/>
              </w:rPr>
            </w:pPr>
            <w:r>
              <w:rPr>
                <w:rFonts w:hint="eastAsia" w:ascii="宋体" w:hAnsi="宋体" w:cs="楷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763" w:type="dxa"/>
            <w:vAlign w:val="center"/>
          </w:tcPr>
          <w:p>
            <w:pPr>
              <w:adjustRightInd w:val="0"/>
              <w:snapToGrid w:val="0"/>
              <w:jc w:val="center"/>
              <w:rPr>
                <w:rFonts w:ascii="宋体" w:hAnsi="宋体" w:cs="楷体"/>
                <w:sz w:val="24"/>
                <w:szCs w:val="24"/>
              </w:rPr>
            </w:pPr>
            <w:r>
              <w:rPr>
                <w:rFonts w:hint="eastAsia" w:ascii="宋体" w:hAnsi="宋体" w:cs="楷体"/>
                <w:sz w:val="24"/>
                <w:szCs w:val="24"/>
              </w:rPr>
              <w:t>1</w:t>
            </w:r>
          </w:p>
        </w:tc>
        <w:tc>
          <w:tcPr>
            <w:tcW w:w="1567"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猪肝</w:t>
            </w:r>
          </w:p>
        </w:tc>
        <w:tc>
          <w:tcPr>
            <w:tcW w:w="1236" w:type="dxa"/>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3500</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6.0</w:t>
            </w:r>
          </w:p>
        </w:tc>
        <w:tc>
          <w:tcPr>
            <w:tcW w:w="1566" w:type="dxa"/>
            <w:vAlign w:val="center"/>
          </w:tcPr>
          <w:p>
            <w:pPr>
              <w:adjustRightInd w:val="0"/>
              <w:snapToGrid w:val="0"/>
              <w:jc w:val="center"/>
              <w:rPr>
                <w:rFonts w:ascii="宋体" w:hAnsi="宋体" w:cs="楷体"/>
                <w:sz w:val="24"/>
                <w:szCs w:val="24"/>
              </w:rPr>
            </w:pPr>
          </w:p>
        </w:tc>
        <w:tc>
          <w:tcPr>
            <w:tcW w:w="1566" w:type="dxa"/>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763" w:type="dxa"/>
            <w:vAlign w:val="center"/>
          </w:tcPr>
          <w:p>
            <w:pPr>
              <w:adjustRightInd w:val="0"/>
              <w:snapToGrid w:val="0"/>
              <w:jc w:val="center"/>
              <w:rPr>
                <w:rFonts w:ascii="宋体" w:hAnsi="宋体" w:cs="楷体"/>
                <w:sz w:val="24"/>
                <w:szCs w:val="24"/>
              </w:rPr>
            </w:pPr>
            <w:r>
              <w:rPr>
                <w:rFonts w:hint="eastAsia" w:ascii="宋体" w:hAnsi="宋体" w:cs="楷体"/>
                <w:sz w:val="24"/>
                <w:szCs w:val="24"/>
              </w:rPr>
              <w:t>2</w:t>
            </w:r>
          </w:p>
        </w:tc>
        <w:tc>
          <w:tcPr>
            <w:tcW w:w="1567"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板油</w:t>
            </w:r>
          </w:p>
        </w:tc>
        <w:tc>
          <w:tcPr>
            <w:tcW w:w="1236" w:type="dxa"/>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1800</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5.8</w:t>
            </w:r>
          </w:p>
        </w:tc>
        <w:tc>
          <w:tcPr>
            <w:tcW w:w="1566" w:type="dxa"/>
            <w:vAlign w:val="center"/>
          </w:tcPr>
          <w:p>
            <w:pPr>
              <w:adjustRightInd w:val="0"/>
              <w:snapToGrid w:val="0"/>
              <w:jc w:val="center"/>
              <w:rPr>
                <w:rFonts w:ascii="宋体" w:hAnsi="宋体" w:cs="楷体"/>
                <w:sz w:val="24"/>
                <w:szCs w:val="24"/>
              </w:rPr>
            </w:pPr>
          </w:p>
        </w:tc>
        <w:tc>
          <w:tcPr>
            <w:tcW w:w="1566" w:type="dxa"/>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763" w:type="dxa"/>
            <w:vAlign w:val="center"/>
          </w:tcPr>
          <w:p>
            <w:pPr>
              <w:adjustRightInd w:val="0"/>
              <w:snapToGrid w:val="0"/>
              <w:jc w:val="center"/>
              <w:rPr>
                <w:rFonts w:ascii="宋体" w:hAnsi="宋体" w:cs="楷体"/>
                <w:sz w:val="24"/>
                <w:szCs w:val="24"/>
              </w:rPr>
            </w:pPr>
            <w:r>
              <w:rPr>
                <w:rFonts w:hint="eastAsia" w:ascii="宋体" w:hAnsi="宋体" w:cs="楷体"/>
                <w:sz w:val="24"/>
                <w:szCs w:val="24"/>
              </w:rPr>
              <w:t>3</w:t>
            </w:r>
          </w:p>
        </w:tc>
        <w:tc>
          <w:tcPr>
            <w:tcW w:w="1567"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鲜筒子骨</w:t>
            </w:r>
          </w:p>
        </w:tc>
        <w:tc>
          <w:tcPr>
            <w:tcW w:w="1236" w:type="dxa"/>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700</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9.0</w:t>
            </w:r>
          </w:p>
        </w:tc>
        <w:tc>
          <w:tcPr>
            <w:tcW w:w="1566" w:type="dxa"/>
            <w:vAlign w:val="center"/>
          </w:tcPr>
          <w:p>
            <w:pPr>
              <w:adjustRightInd w:val="0"/>
              <w:snapToGrid w:val="0"/>
              <w:jc w:val="center"/>
              <w:rPr>
                <w:rFonts w:ascii="宋体" w:hAnsi="宋体" w:cs="楷体"/>
                <w:sz w:val="24"/>
                <w:szCs w:val="24"/>
              </w:rPr>
            </w:pPr>
          </w:p>
        </w:tc>
        <w:tc>
          <w:tcPr>
            <w:tcW w:w="1566" w:type="dxa"/>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763" w:type="dxa"/>
            <w:vAlign w:val="center"/>
          </w:tcPr>
          <w:p>
            <w:pPr>
              <w:adjustRightInd w:val="0"/>
              <w:snapToGrid w:val="0"/>
              <w:jc w:val="center"/>
              <w:rPr>
                <w:rFonts w:ascii="宋体" w:hAnsi="宋体" w:cs="楷体"/>
                <w:sz w:val="24"/>
                <w:szCs w:val="24"/>
              </w:rPr>
            </w:pPr>
            <w:r>
              <w:rPr>
                <w:rFonts w:hint="eastAsia" w:ascii="宋体" w:hAnsi="宋体" w:cs="楷体"/>
                <w:sz w:val="24"/>
                <w:szCs w:val="24"/>
              </w:rPr>
              <w:t>4</w:t>
            </w:r>
          </w:p>
        </w:tc>
        <w:tc>
          <w:tcPr>
            <w:tcW w:w="1567" w:type="dxa"/>
            <w:tcMar>
              <w:top w:w="15" w:type="dxa"/>
              <w:left w:w="15" w:type="dxa"/>
              <w:bottom w:w="0" w:type="dxa"/>
              <w:right w:w="15" w:type="dxa"/>
            </w:tcMar>
            <w:vAlign w:val="center"/>
          </w:tcPr>
          <w:p>
            <w:pPr>
              <w:adjustRightInd w:val="0"/>
              <w:snapToGrid w:val="0"/>
              <w:jc w:val="center"/>
              <w:rPr>
                <w:rFonts w:ascii="宋体" w:hAnsi="宋体" w:cs="楷体"/>
                <w:sz w:val="24"/>
                <w:szCs w:val="24"/>
              </w:rPr>
            </w:pPr>
            <w:r>
              <w:rPr>
                <w:rFonts w:hint="eastAsia" w:ascii="宋体" w:hAnsi="宋体" w:cs="楷体"/>
                <w:sz w:val="24"/>
                <w:szCs w:val="24"/>
              </w:rPr>
              <w:t>鲜杂骨</w:t>
            </w:r>
          </w:p>
        </w:tc>
        <w:tc>
          <w:tcPr>
            <w:tcW w:w="1236" w:type="dxa"/>
            <w:vAlign w:val="center"/>
          </w:tcPr>
          <w:p>
            <w:pPr>
              <w:adjustRightInd w:val="0"/>
              <w:snapToGrid w:val="0"/>
              <w:jc w:val="center"/>
              <w:rPr>
                <w:rFonts w:ascii="宋体" w:hAnsi="宋体" w:cs="楷体"/>
                <w:sz w:val="24"/>
                <w:szCs w:val="24"/>
              </w:rPr>
            </w:pPr>
            <w:r>
              <w:rPr>
                <w:rFonts w:ascii="宋体" w:hAnsi="宋体" w:cs="楷体"/>
                <w:sz w:val="24"/>
                <w:szCs w:val="24"/>
              </w:rPr>
              <w:t>斤</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300</w:t>
            </w:r>
          </w:p>
        </w:tc>
        <w:tc>
          <w:tcPr>
            <w:tcW w:w="1566" w:type="dxa"/>
            <w:vAlign w:val="center"/>
          </w:tcPr>
          <w:p>
            <w:pPr>
              <w:adjustRightInd w:val="0"/>
              <w:snapToGrid w:val="0"/>
              <w:jc w:val="center"/>
              <w:rPr>
                <w:rFonts w:ascii="宋体" w:hAnsi="宋体" w:cs="楷体"/>
                <w:sz w:val="24"/>
                <w:szCs w:val="24"/>
              </w:rPr>
            </w:pPr>
            <w:r>
              <w:rPr>
                <w:rFonts w:hint="eastAsia" w:ascii="宋体" w:hAnsi="宋体" w:cs="楷体"/>
                <w:sz w:val="24"/>
                <w:szCs w:val="24"/>
              </w:rPr>
              <w:t>5.5</w:t>
            </w:r>
          </w:p>
        </w:tc>
        <w:tc>
          <w:tcPr>
            <w:tcW w:w="1566" w:type="dxa"/>
            <w:vAlign w:val="center"/>
          </w:tcPr>
          <w:p>
            <w:pPr>
              <w:adjustRightInd w:val="0"/>
              <w:snapToGrid w:val="0"/>
              <w:jc w:val="center"/>
              <w:rPr>
                <w:rFonts w:ascii="宋体" w:hAnsi="宋体" w:cs="楷体"/>
                <w:sz w:val="24"/>
                <w:szCs w:val="24"/>
              </w:rPr>
            </w:pPr>
          </w:p>
        </w:tc>
        <w:tc>
          <w:tcPr>
            <w:tcW w:w="1566" w:type="dxa"/>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2330" w:type="dxa"/>
            <w:gridSpan w:val="2"/>
            <w:vAlign w:val="center"/>
          </w:tcPr>
          <w:p>
            <w:pPr>
              <w:adjustRightInd w:val="0"/>
              <w:snapToGrid w:val="0"/>
              <w:jc w:val="center"/>
              <w:rPr>
                <w:rFonts w:ascii="宋体" w:hAnsi="宋体" w:cs="楷体"/>
                <w:sz w:val="24"/>
                <w:szCs w:val="24"/>
              </w:rPr>
            </w:pPr>
            <w:r>
              <w:rPr>
                <w:rFonts w:hint="eastAsia" w:ascii="宋体" w:hAnsi="宋体" w:cs="楷体"/>
                <w:kern w:val="0"/>
                <w:sz w:val="24"/>
                <w:szCs w:val="24"/>
                <w:lang w:bidi="ar"/>
              </w:rPr>
              <w:t>合计（元）</w:t>
            </w:r>
          </w:p>
        </w:tc>
        <w:tc>
          <w:tcPr>
            <w:tcW w:w="1236" w:type="dxa"/>
            <w:vAlign w:val="center"/>
          </w:tcPr>
          <w:p>
            <w:pPr>
              <w:adjustRightInd w:val="0"/>
              <w:snapToGrid w:val="0"/>
              <w:jc w:val="center"/>
              <w:rPr>
                <w:rFonts w:ascii="宋体" w:hAnsi="宋体" w:cs="楷体"/>
                <w:sz w:val="24"/>
                <w:szCs w:val="24"/>
              </w:rPr>
            </w:pPr>
          </w:p>
        </w:tc>
        <w:tc>
          <w:tcPr>
            <w:tcW w:w="1566" w:type="dxa"/>
            <w:vAlign w:val="center"/>
          </w:tcPr>
          <w:p>
            <w:pPr>
              <w:adjustRightInd w:val="0"/>
              <w:snapToGrid w:val="0"/>
              <w:jc w:val="center"/>
              <w:rPr>
                <w:rFonts w:ascii="宋体" w:hAnsi="宋体" w:cs="楷体"/>
                <w:sz w:val="24"/>
                <w:szCs w:val="24"/>
              </w:rPr>
            </w:pPr>
          </w:p>
        </w:tc>
        <w:tc>
          <w:tcPr>
            <w:tcW w:w="1566" w:type="dxa"/>
            <w:vAlign w:val="center"/>
          </w:tcPr>
          <w:p>
            <w:pPr>
              <w:adjustRightInd w:val="0"/>
              <w:snapToGrid w:val="0"/>
              <w:jc w:val="center"/>
              <w:rPr>
                <w:rFonts w:ascii="宋体" w:hAnsi="宋体" w:cs="楷体"/>
                <w:sz w:val="24"/>
                <w:szCs w:val="24"/>
              </w:rPr>
            </w:pPr>
          </w:p>
        </w:tc>
        <w:tc>
          <w:tcPr>
            <w:tcW w:w="1566" w:type="dxa"/>
            <w:vAlign w:val="center"/>
          </w:tcPr>
          <w:p>
            <w:pPr>
              <w:adjustRightInd w:val="0"/>
              <w:snapToGrid w:val="0"/>
              <w:jc w:val="center"/>
              <w:rPr>
                <w:rFonts w:ascii="宋体" w:hAnsi="宋体" w:cs="楷体"/>
                <w:sz w:val="24"/>
                <w:szCs w:val="24"/>
              </w:rPr>
            </w:pPr>
          </w:p>
        </w:tc>
        <w:tc>
          <w:tcPr>
            <w:tcW w:w="1566" w:type="dxa"/>
            <w:vAlign w:val="center"/>
          </w:tcPr>
          <w:p>
            <w:pPr>
              <w:adjustRightInd w:val="0"/>
              <w:snapToGrid w:val="0"/>
              <w:jc w:val="center"/>
              <w:rPr>
                <w:rFonts w:ascii="宋体" w:hAnsi="宋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830" w:type="dxa"/>
            <w:gridSpan w:val="7"/>
          </w:tcPr>
          <w:p>
            <w:pPr>
              <w:adjustRightInd w:val="0"/>
              <w:snapToGrid w:val="0"/>
              <w:rPr>
                <w:rFonts w:ascii="宋体" w:hAnsi="宋体" w:cs="楷体"/>
                <w:sz w:val="24"/>
                <w:szCs w:val="24"/>
              </w:rPr>
            </w:pPr>
            <w:r>
              <w:rPr>
                <w:rFonts w:ascii="宋体" w:hAnsi="宋体" w:cs="楷体"/>
                <w:sz w:val="24"/>
                <w:szCs w:val="24"/>
              </w:rPr>
              <w:t>注：</w:t>
            </w:r>
            <w:r>
              <w:rPr>
                <w:rFonts w:hint="eastAsia" w:ascii="宋体" w:hAnsi="宋体" w:cs="楷体"/>
                <w:sz w:val="24"/>
                <w:szCs w:val="24"/>
              </w:rPr>
              <w:t>1、投标人必须按计量单位进行报价，所有品种必须全部报价，否则为无效标书。</w:t>
            </w:r>
          </w:p>
          <w:p>
            <w:pPr>
              <w:adjustRightInd w:val="0"/>
              <w:snapToGrid w:val="0"/>
              <w:ind w:firstLine="480"/>
              <w:rPr>
                <w:rFonts w:ascii="宋体" w:hAnsi="宋体" w:cs="楷体"/>
                <w:sz w:val="24"/>
                <w:szCs w:val="24"/>
              </w:rPr>
            </w:pPr>
            <w:r>
              <w:rPr>
                <w:rFonts w:hint="eastAsia" w:ascii="宋体" w:hAnsi="宋体" w:cs="楷体"/>
                <w:sz w:val="24"/>
                <w:szCs w:val="24"/>
              </w:rPr>
              <w:t>2、投标人报价不得高于最高限价，否则为无效标书。</w:t>
            </w:r>
          </w:p>
          <w:p>
            <w:pPr>
              <w:adjustRightInd w:val="0"/>
              <w:snapToGrid w:val="0"/>
              <w:ind w:firstLine="480"/>
              <w:rPr>
                <w:rFonts w:ascii="宋体" w:hAnsi="宋体" w:cs="楷体"/>
                <w:sz w:val="24"/>
                <w:szCs w:val="24"/>
              </w:rPr>
            </w:pPr>
            <w:r>
              <w:rPr>
                <w:rFonts w:hint="eastAsia" w:ascii="宋体" w:hAnsi="宋体" w:cs="楷体"/>
                <w:sz w:val="24"/>
                <w:szCs w:val="24"/>
              </w:rPr>
              <w:t>3、供货期内价格不得调整。</w:t>
            </w:r>
          </w:p>
        </w:tc>
      </w:tr>
    </w:tbl>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pStyle w:val="10"/>
        <w:spacing w:after="100" w:afterAutospacing="1" w:line="700" w:lineRule="exact"/>
        <w:ind w:left="0" w:leftChars="0"/>
        <w:jc w:val="center"/>
        <w:rPr>
          <w:rFonts w:ascii="宋体" w:hAnsi="宋体" w:eastAsia="宋体" w:cs="楷体"/>
          <w:b/>
          <w:bCs/>
          <w:sz w:val="28"/>
          <w:szCs w:val="28"/>
        </w:rPr>
      </w:pPr>
      <w:r>
        <w:rPr>
          <w:rFonts w:ascii="宋体" w:hAnsi="Arial"/>
          <w:sz w:val="24"/>
          <w:lang w:val="zh-CN"/>
        </w:rPr>
        <w:br w:type="page"/>
      </w:r>
      <w:r>
        <w:rPr>
          <w:rFonts w:hint="eastAsia" w:ascii="宋体" w:hAnsi="宋体" w:eastAsia="宋体" w:cs="楷体"/>
          <w:b/>
          <w:bCs/>
          <w:sz w:val="28"/>
          <w:szCs w:val="28"/>
        </w:rPr>
        <w:t>凌家塘猪肉品种清单表</w:t>
      </w:r>
    </w:p>
    <w:tbl>
      <w:tblPr>
        <w:tblStyle w:val="19"/>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865"/>
        <w:gridCol w:w="2075"/>
        <w:gridCol w:w="3377"/>
        <w:gridCol w:w="110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40" w:type="dxa"/>
            <w:vMerge w:val="restart"/>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荤食区</w:t>
            </w: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序号</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凌家塘猪肉名称</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对应名称</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规格</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1</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猪蹄髈</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鲜去骨猪前蹄</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2</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猪脚爪</w:t>
            </w:r>
          </w:p>
        </w:tc>
        <w:tc>
          <w:tcPr>
            <w:tcW w:w="3377" w:type="dxa"/>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鲜1/2猪前爪（无脚圈）</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3</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猪肚</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鲜猪肚</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4</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猪前腿肉</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鲜前夹肉/鲜去皮前夹肉</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去骨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5</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猪后腿肉</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鲜后腿肉/鲜去皮后腿肉</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去骨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6</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猪大排肉</w:t>
            </w:r>
          </w:p>
        </w:tc>
        <w:tc>
          <w:tcPr>
            <w:tcW w:w="3377" w:type="dxa"/>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切片鲜大排（1.6两/片）</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7</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猪肥膘</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鲜猪肥膘</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8</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猪口条</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鲜猪口条</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9</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猪耳朵</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鲜猪耳朵</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10</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猪心</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鲜猪心</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11</w:t>
            </w:r>
          </w:p>
        </w:tc>
        <w:tc>
          <w:tcPr>
            <w:tcW w:w="2075"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猪肋条肉</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鲜有皮五花肉/鲜无皮五花肉</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shd w:val="clear" w:color="auto" w:fill="auto"/>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shd w:val="clear" w:color="auto" w:fill="auto"/>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12</w:t>
            </w:r>
          </w:p>
        </w:tc>
        <w:tc>
          <w:tcPr>
            <w:tcW w:w="2075" w:type="dxa"/>
            <w:shd w:val="clear" w:color="000000" w:fill="FFFFFF"/>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冻小排</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0" w:type="dxa"/>
            <w:vMerge w:val="continue"/>
            <w:shd w:val="clear" w:color="auto" w:fill="auto"/>
            <w:vAlign w:val="center"/>
          </w:tcPr>
          <w:p>
            <w:pPr>
              <w:pStyle w:val="47"/>
              <w:adjustRightInd/>
              <w:spacing w:before="0" w:after="0" w:line="240" w:lineRule="auto"/>
              <w:ind w:firstLine="0"/>
              <w:jc w:val="center"/>
              <w:rPr>
                <w:rFonts w:asciiTheme="minorEastAsia" w:hAnsiTheme="minorEastAsia" w:eastAsiaTheme="minorEastAsia"/>
              </w:rPr>
            </w:pPr>
          </w:p>
        </w:tc>
        <w:tc>
          <w:tcPr>
            <w:tcW w:w="865" w:type="dxa"/>
            <w:shd w:val="clear" w:color="auto" w:fill="auto"/>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13</w:t>
            </w:r>
          </w:p>
        </w:tc>
        <w:tc>
          <w:tcPr>
            <w:tcW w:w="2075" w:type="dxa"/>
            <w:shd w:val="clear" w:color="000000" w:fill="FFFFFF"/>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宋体" w:hAnsi="宋体" w:cs="楷体"/>
              </w:rPr>
              <w:t>鲜后座精肉</w:t>
            </w:r>
          </w:p>
        </w:tc>
        <w:tc>
          <w:tcPr>
            <w:tcW w:w="3377"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精瘦肉</w:t>
            </w:r>
          </w:p>
        </w:tc>
        <w:tc>
          <w:tcPr>
            <w:tcW w:w="1109" w:type="dxa"/>
            <w:noWrap/>
            <w:vAlign w:val="center"/>
          </w:tcPr>
          <w:p>
            <w:pPr>
              <w:pStyle w:val="47"/>
              <w:adjustRightInd/>
              <w:spacing w:before="0" w:after="0" w:line="240" w:lineRule="auto"/>
              <w:ind w:firstLine="0"/>
              <w:jc w:val="center"/>
              <w:rPr>
                <w:rFonts w:asciiTheme="minorEastAsia" w:hAnsiTheme="minorEastAsia" w:eastAsiaTheme="minorEastAsia"/>
              </w:rPr>
            </w:pPr>
            <w:r>
              <w:rPr>
                <w:rFonts w:hint="eastAsia" w:asciiTheme="minorEastAsia" w:hAnsiTheme="minorEastAsia" w:eastAsiaTheme="minorEastAsia"/>
              </w:rPr>
              <w:t>斤</w:t>
            </w:r>
          </w:p>
        </w:tc>
        <w:tc>
          <w:tcPr>
            <w:tcW w:w="1253" w:type="dxa"/>
            <w:noWrap/>
            <w:vAlign w:val="center"/>
          </w:tcPr>
          <w:p>
            <w:pPr>
              <w:pStyle w:val="47"/>
              <w:adjustRightInd/>
              <w:spacing w:before="0" w:after="0" w:line="240" w:lineRule="auto"/>
              <w:ind w:firstLine="0"/>
              <w:jc w:val="center"/>
              <w:rPr>
                <w:rFonts w:asciiTheme="minorEastAsia" w:hAnsiTheme="minorEastAsia" w:eastAsiaTheme="minorEastAsia"/>
              </w:rPr>
            </w:pPr>
          </w:p>
        </w:tc>
      </w:tr>
    </w:tbl>
    <w:p>
      <w:pPr>
        <w:autoSpaceDE w:val="0"/>
        <w:autoSpaceDN w:val="0"/>
        <w:adjustRightInd w:val="0"/>
        <w:spacing w:line="600" w:lineRule="exact"/>
        <w:rPr>
          <w:rFonts w:ascii="宋体" w:hAnsi="Arial" w:cs="宋体"/>
          <w:sz w:val="24"/>
          <w:szCs w:val="24"/>
          <w:lang w:val="zh-CN"/>
        </w:rPr>
      </w:pPr>
    </w:p>
    <w:p>
      <w:pPr>
        <w:autoSpaceDE w:val="0"/>
        <w:autoSpaceDN w:val="0"/>
        <w:adjustRightInd w:val="0"/>
        <w:spacing w:line="600" w:lineRule="exact"/>
        <w:rPr>
          <w:rFonts w:ascii="宋体" w:hAnsi="宋体" w:cs="楷体"/>
          <w:b/>
          <w:bCs/>
          <w:sz w:val="28"/>
          <w:szCs w:val="28"/>
        </w:rPr>
      </w:pPr>
    </w:p>
    <w:p>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19"/>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ascii="宋体" w:hAnsi="Arial" w:cs="宋体"/>
          <w:sz w:val="24"/>
          <w:szCs w:val="24"/>
          <w:lang w:val="zh-CN"/>
        </w:rPr>
      </w:pPr>
    </w:p>
    <w:p>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440" w:lineRule="exact"/>
        <w:jc w:val="left"/>
        <w:rPr>
          <w:rFonts w:ascii="宋体" w:hAnsi="宋体" w:cs="宋体"/>
          <w:b/>
          <w:sz w:val="24"/>
          <w:szCs w:val="24"/>
        </w:rPr>
      </w:pPr>
      <w:r>
        <w:rPr>
          <w:rFonts w:hint="eastAsia" w:ascii="宋体" w:hAnsi="宋体" w:cs="宋体"/>
          <w:b/>
          <w:sz w:val="24"/>
          <w:szCs w:val="24"/>
        </w:rPr>
        <w:t>备注：</w:t>
      </w:r>
    </w:p>
    <w:p>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pPr>
        <w:spacing w:line="360" w:lineRule="auto"/>
        <w:ind w:firstLine="482" w:firstLineChars="200"/>
        <w:jc w:val="center"/>
        <w:rPr>
          <w:b/>
          <w:sz w:val="24"/>
          <w:szCs w:val="24"/>
        </w:rPr>
      </w:pPr>
    </w:p>
    <w:p>
      <w:pPr>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可行性实施方案、项目重点难点分析、应急处理工作方案和预案、违约承诺</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19</w:t>
    </w:r>
    <w:r>
      <w:rPr>
        <w:rFonts w:ascii="宋体" w:hAnsi="宋体"/>
        <w:sz w:val="21"/>
        <w:szCs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44</w:t>
    </w:r>
    <w:r>
      <w:rPr>
        <w:rFonts w:ascii="宋体" w:hAnsi="宋体"/>
        <w:sz w:val="21"/>
        <w:szCs w:val="21"/>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45</w:t>
    </w:r>
    <w:r>
      <w:fldChar w:fldCharType="end"/>
    </w:r>
  </w:p>
  <w:p>
    <w:pPr>
      <w:pStyle w:val="14"/>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67B"/>
    <w:rsid w:val="00005A9C"/>
    <w:rsid w:val="00006091"/>
    <w:rsid w:val="00007EF1"/>
    <w:rsid w:val="00013777"/>
    <w:rsid w:val="00017F29"/>
    <w:rsid w:val="00024C8B"/>
    <w:rsid w:val="00032085"/>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2125"/>
    <w:rsid w:val="0009404A"/>
    <w:rsid w:val="00094224"/>
    <w:rsid w:val="00094BC2"/>
    <w:rsid w:val="00095E49"/>
    <w:rsid w:val="00096F4D"/>
    <w:rsid w:val="000A141F"/>
    <w:rsid w:val="000A190D"/>
    <w:rsid w:val="000A35CE"/>
    <w:rsid w:val="000A3A2B"/>
    <w:rsid w:val="000A6ADE"/>
    <w:rsid w:val="000B41DE"/>
    <w:rsid w:val="000B4856"/>
    <w:rsid w:val="000B4EF8"/>
    <w:rsid w:val="000B5165"/>
    <w:rsid w:val="000B761E"/>
    <w:rsid w:val="000C18E1"/>
    <w:rsid w:val="000C2C48"/>
    <w:rsid w:val="000D0B12"/>
    <w:rsid w:val="000D0FF2"/>
    <w:rsid w:val="000D2DD4"/>
    <w:rsid w:val="000D38E7"/>
    <w:rsid w:val="000D5014"/>
    <w:rsid w:val="000E0C2A"/>
    <w:rsid w:val="000E1C62"/>
    <w:rsid w:val="000E3481"/>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81B8E"/>
    <w:rsid w:val="00181EA5"/>
    <w:rsid w:val="001825FC"/>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25B1"/>
    <w:rsid w:val="00217637"/>
    <w:rsid w:val="002178D7"/>
    <w:rsid w:val="0022371F"/>
    <w:rsid w:val="002249D0"/>
    <w:rsid w:val="00224C88"/>
    <w:rsid w:val="00225D93"/>
    <w:rsid w:val="00231182"/>
    <w:rsid w:val="00240F98"/>
    <w:rsid w:val="00243544"/>
    <w:rsid w:val="002479F9"/>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672B"/>
    <w:rsid w:val="002D422D"/>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258E"/>
    <w:rsid w:val="00355DCD"/>
    <w:rsid w:val="003560E7"/>
    <w:rsid w:val="003567A3"/>
    <w:rsid w:val="00357856"/>
    <w:rsid w:val="00364C34"/>
    <w:rsid w:val="00366747"/>
    <w:rsid w:val="00366B75"/>
    <w:rsid w:val="00370618"/>
    <w:rsid w:val="00370C52"/>
    <w:rsid w:val="00375E12"/>
    <w:rsid w:val="00375F58"/>
    <w:rsid w:val="00380C41"/>
    <w:rsid w:val="00383C02"/>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3F0F"/>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0C20"/>
    <w:rsid w:val="00483D5C"/>
    <w:rsid w:val="004841DF"/>
    <w:rsid w:val="00485A55"/>
    <w:rsid w:val="004924AB"/>
    <w:rsid w:val="004A2056"/>
    <w:rsid w:val="004A7329"/>
    <w:rsid w:val="004B04B7"/>
    <w:rsid w:val="004B0583"/>
    <w:rsid w:val="004B0F0A"/>
    <w:rsid w:val="004B2866"/>
    <w:rsid w:val="004B3A60"/>
    <w:rsid w:val="004B488F"/>
    <w:rsid w:val="004B61E8"/>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3549"/>
    <w:rsid w:val="00525C4B"/>
    <w:rsid w:val="0053054F"/>
    <w:rsid w:val="005320A6"/>
    <w:rsid w:val="00533C25"/>
    <w:rsid w:val="00534351"/>
    <w:rsid w:val="00534667"/>
    <w:rsid w:val="00535815"/>
    <w:rsid w:val="00540408"/>
    <w:rsid w:val="005426D0"/>
    <w:rsid w:val="00546D66"/>
    <w:rsid w:val="00551EBA"/>
    <w:rsid w:val="00552555"/>
    <w:rsid w:val="005532DF"/>
    <w:rsid w:val="00555B65"/>
    <w:rsid w:val="00555BCA"/>
    <w:rsid w:val="00556065"/>
    <w:rsid w:val="00564E2D"/>
    <w:rsid w:val="005663CF"/>
    <w:rsid w:val="005701E2"/>
    <w:rsid w:val="0057335A"/>
    <w:rsid w:val="0057669E"/>
    <w:rsid w:val="005779F1"/>
    <w:rsid w:val="005853D7"/>
    <w:rsid w:val="00585A45"/>
    <w:rsid w:val="00586156"/>
    <w:rsid w:val="00586463"/>
    <w:rsid w:val="005932DA"/>
    <w:rsid w:val="00594742"/>
    <w:rsid w:val="005958E5"/>
    <w:rsid w:val="00596FA3"/>
    <w:rsid w:val="005B234A"/>
    <w:rsid w:val="005B31A5"/>
    <w:rsid w:val="005B352E"/>
    <w:rsid w:val="005B5096"/>
    <w:rsid w:val="005B76CA"/>
    <w:rsid w:val="005C2B74"/>
    <w:rsid w:val="005C3617"/>
    <w:rsid w:val="005C663B"/>
    <w:rsid w:val="005C6C07"/>
    <w:rsid w:val="005D6BFB"/>
    <w:rsid w:val="005D712F"/>
    <w:rsid w:val="005F1BA5"/>
    <w:rsid w:val="005F548A"/>
    <w:rsid w:val="005F5F04"/>
    <w:rsid w:val="005F74E4"/>
    <w:rsid w:val="00600CB3"/>
    <w:rsid w:val="00604462"/>
    <w:rsid w:val="006058B3"/>
    <w:rsid w:val="00606B22"/>
    <w:rsid w:val="006118D0"/>
    <w:rsid w:val="00611FCE"/>
    <w:rsid w:val="00613CB4"/>
    <w:rsid w:val="00614066"/>
    <w:rsid w:val="00614952"/>
    <w:rsid w:val="0061746B"/>
    <w:rsid w:val="006223C8"/>
    <w:rsid w:val="0062512E"/>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187E"/>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36E0E"/>
    <w:rsid w:val="00841BC3"/>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A321E"/>
    <w:rsid w:val="008A375B"/>
    <w:rsid w:val="008A3EBF"/>
    <w:rsid w:val="008B5A15"/>
    <w:rsid w:val="008B5F8F"/>
    <w:rsid w:val="008B69F6"/>
    <w:rsid w:val="008B6A85"/>
    <w:rsid w:val="008C19E6"/>
    <w:rsid w:val="008C2636"/>
    <w:rsid w:val="008C3D10"/>
    <w:rsid w:val="008C42B6"/>
    <w:rsid w:val="008C57ED"/>
    <w:rsid w:val="008C7AA7"/>
    <w:rsid w:val="008D0EC8"/>
    <w:rsid w:val="008D2822"/>
    <w:rsid w:val="008D2B37"/>
    <w:rsid w:val="008D3595"/>
    <w:rsid w:val="008D48CB"/>
    <w:rsid w:val="008D6016"/>
    <w:rsid w:val="008D7AC0"/>
    <w:rsid w:val="008E1168"/>
    <w:rsid w:val="008E628C"/>
    <w:rsid w:val="008E6EE2"/>
    <w:rsid w:val="008F0A48"/>
    <w:rsid w:val="008F4AAA"/>
    <w:rsid w:val="008F726D"/>
    <w:rsid w:val="00901E5D"/>
    <w:rsid w:val="009025DB"/>
    <w:rsid w:val="009031F6"/>
    <w:rsid w:val="00904058"/>
    <w:rsid w:val="00907CF6"/>
    <w:rsid w:val="00910EA7"/>
    <w:rsid w:val="00915B2B"/>
    <w:rsid w:val="009200F4"/>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380D"/>
    <w:rsid w:val="0096530B"/>
    <w:rsid w:val="0096780B"/>
    <w:rsid w:val="00972899"/>
    <w:rsid w:val="00973521"/>
    <w:rsid w:val="0097627C"/>
    <w:rsid w:val="009771EB"/>
    <w:rsid w:val="009806DC"/>
    <w:rsid w:val="00984D15"/>
    <w:rsid w:val="00992BA8"/>
    <w:rsid w:val="00993241"/>
    <w:rsid w:val="00994465"/>
    <w:rsid w:val="00996046"/>
    <w:rsid w:val="00997C2B"/>
    <w:rsid w:val="009A2636"/>
    <w:rsid w:val="009A3FAD"/>
    <w:rsid w:val="009A5668"/>
    <w:rsid w:val="009A58F1"/>
    <w:rsid w:val="009B0DF7"/>
    <w:rsid w:val="009B12EA"/>
    <w:rsid w:val="009B5A49"/>
    <w:rsid w:val="009C0F12"/>
    <w:rsid w:val="009C307A"/>
    <w:rsid w:val="009C45C4"/>
    <w:rsid w:val="009D0237"/>
    <w:rsid w:val="009D4113"/>
    <w:rsid w:val="009D615C"/>
    <w:rsid w:val="009D6BA7"/>
    <w:rsid w:val="009E2AD0"/>
    <w:rsid w:val="009E5830"/>
    <w:rsid w:val="009E777C"/>
    <w:rsid w:val="009E7FBE"/>
    <w:rsid w:val="009F043A"/>
    <w:rsid w:val="009F223D"/>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4945"/>
    <w:rsid w:val="00A356D6"/>
    <w:rsid w:val="00A35F63"/>
    <w:rsid w:val="00A36554"/>
    <w:rsid w:val="00A37646"/>
    <w:rsid w:val="00A407AF"/>
    <w:rsid w:val="00A4348B"/>
    <w:rsid w:val="00A43C83"/>
    <w:rsid w:val="00A44D65"/>
    <w:rsid w:val="00A45CBE"/>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1F72"/>
    <w:rsid w:val="00AB4023"/>
    <w:rsid w:val="00AB62EA"/>
    <w:rsid w:val="00AB67B3"/>
    <w:rsid w:val="00AC00B8"/>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44E1"/>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36AE8"/>
    <w:rsid w:val="00B41AC9"/>
    <w:rsid w:val="00B42D2B"/>
    <w:rsid w:val="00B445A7"/>
    <w:rsid w:val="00B473EE"/>
    <w:rsid w:val="00B47595"/>
    <w:rsid w:val="00B47E0A"/>
    <w:rsid w:val="00B51602"/>
    <w:rsid w:val="00B53E5D"/>
    <w:rsid w:val="00B540B3"/>
    <w:rsid w:val="00B540F7"/>
    <w:rsid w:val="00B571D2"/>
    <w:rsid w:val="00B578CD"/>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EF6"/>
    <w:rsid w:val="00BD7B6B"/>
    <w:rsid w:val="00BE0E03"/>
    <w:rsid w:val="00BE157E"/>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A084A"/>
    <w:rsid w:val="00CA1DCC"/>
    <w:rsid w:val="00CA273E"/>
    <w:rsid w:val="00CA5B7F"/>
    <w:rsid w:val="00CA5F0A"/>
    <w:rsid w:val="00CB139B"/>
    <w:rsid w:val="00CB283B"/>
    <w:rsid w:val="00CB5632"/>
    <w:rsid w:val="00CB6F62"/>
    <w:rsid w:val="00CC1D2A"/>
    <w:rsid w:val="00CC251B"/>
    <w:rsid w:val="00CC3251"/>
    <w:rsid w:val="00CC3BD2"/>
    <w:rsid w:val="00CC427F"/>
    <w:rsid w:val="00CD0150"/>
    <w:rsid w:val="00CD3A22"/>
    <w:rsid w:val="00CD51BC"/>
    <w:rsid w:val="00CD558B"/>
    <w:rsid w:val="00CD58FF"/>
    <w:rsid w:val="00CD75B5"/>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2F26"/>
    <w:rsid w:val="00D9490B"/>
    <w:rsid w:val="00D94E49"/>
    <w:rsid w:val="00D94E5E"/>
    <w:rsid w:val="00D94EFF"/>
    <w:rsid w:val="00D96938"/>
    <w:rsid w:val="00DA01F2"/>
    <w:rsid w:val="00DA483C"/>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33F8"/>
    <w:rsid w:val="00E64782"/>
    <w:rsid w:val="00E76851"/>
    <w:rsid w:val="00E8060E"/>
    <w:rsid w:val="00E8680D"/>
    <w:rsid w:val="00E9021B"/>
    <w:rsid w:val="00E9064D"/>
    <w:rsid w:val="00E915DC"/>
    <w:rsid w:val="00E96CA0"/>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E6A10"/>
    <w:rsid w:val="00EE6B41"/>
    <w:rsid w:val="00EF09FC"/>
    <w:rsid w:val="00EF303D"/>
    <w:rsid w:val="00EF46D1"/>
    <w:rsid w:val="00EF56A2"/>
    <w:rsid w:val="00EF58F9"/>
    <w:rsid w:val="00EF6E50"/>
    <w:rsid w:val="00EF7E3D"/>
    <w:rsid w:val="00F0617C"/>
    <w:rsid w:val="00F109CE"/>
    <w:rsid w:val="00F120E4"/>
    <w:rsid w:val="00F12658"/>
    <w:rsid w:val="00F1269D"/>
    <w:rsid w:val="00F13CAA"/>
    <w:rsid w:val="00F14216"/>
    <w:rsid w:val="00F16625"/>
    <w:rsid w:val="00F24DBD"/>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0FF72E5"/>
    <w:rsid w:val="018A5D41"/>
    <w:rsid w:val="01E45FB7"/>
    <w:rsid w:val="02415C62"/>
    <w:rsid w:val="02872629"/>
    <w:rsid w:val="035058C7"/>
    <w:rsid w:val="035E0DBD"/>
    <w:rsid w:val="03F86B1C"/>
    <w:rsid w:val="04784D87"/>
    <w:rsid w:val="060317A8"/>
    <w:rsid w:val="07C35693"/>
    <w:rsid w:val="08BF40AC"/>
    <w:rsid w:val="08CE22D8"/>
    <w:rsid w:val="099A468B"/>
    <w:rsid w:val="0A875C10"/>
    <w:rsid w:val="0A8D0F51"/>
    <w:rsid w:val="0AF3628F"/>
    <w:rsid w:val="0B363250"/>
    <w:rsid w:val="0BE36D47"/>
    <w:rsid w:val="0C4C20FB"/>
    <w:rsid w:val="0CD820F1"/>
    <w:rsid w:val="0CE25200"/>
    <w:rsid w:val="0D5E1B07"/>
    <w:rsid w:val="0DE079F5"/>
    <w:rsid w:val="0E545297"/>
    <w:rsid w:val="10516D8F"/>
    <w:rsid w:val="106F56A5"/>
    <w:rsid w:val="11E5553C"/>
    <w:rsid w:val="11EE77B0"/>
    <w:rsid w:val="11F272A1"/>
    <w:rsid w:val="120A5DB1"/>
    <w:rsid w:val="123F711E"/>
    <w:rsid w:val="12BB6165"/>
    <w:rsid w:val="133D5C9F"/>
    <w:rsid w:val="13533D6F"/>
    <w:rsid w:val="135A2C95"/>
    <w:rsid w:val="13737F6D"/>
    <w:rsid w:val="1399762A"/>
    <w:rsid w:val="13D6674E"/>
    <w:rsid w:val="13DD7ADC"/>
    <w:rsid w:val="14BA3751"/>
    <w:rsid w:val="15172FC0"/>
    <w:rsid w:val="1530696F"/>
    <w:rsid w:val="16B25250"/>
    <w:rsid w:val="17391D92"/>
    <w:rsid w:val="17544085"/>
    <w:rsid w:val="1820443C"/>
    <w:rsid w:val="18431CDB"/>
    <w:rsid w:val="1EF651FF"/>
    <w:rsid w:val="1F262338"/>
    <w:rsid w:val="1F550AAE"/>
    <w:rsid w:val="21010D55"/>
    <w:rsid w:val="21D94E59"/>
    <w:rsid w:val="224156DA"/>
    <w:rsid w:val="230230BC"/>
    <w:rsid w:val="23984280"/>
    <w:rsid w:val="253B0B07"/>
    <w:rsid w:val="257449AC"/>
    <w:rsid w:val="2790205B"/>
    <w:rsid w:val="288D3427"/>
    <w:rsid w:val="28C54DCD"/>
    <w:rsid w:val="28CE4005"/>
    <w:rsid w:val="29F9354B"/>
    <w:rsid w:val="2A73489F"/>
    <w:rsid w:val="2C5C33A3"/>
    <w:rsid w:val="2CE455E0"/>
    <w:rsid w:val="2CF73A01"/>
    <w:rsid w:val="2E1524DD"/>
    <w:rsid w:val="301B0ADB"/>
    <w:rsid w:val="307146A2"/>
    <w:rsid w:val="308B2942"/>
    <w:rsid w:val="32285F6F"/>
    <w:rsid w:val="3266677F"/>
    <w:rsid w:val="32ED521C"/>
    <w:rsid w:val="348F6779"/>
    <w:rsid w:val="36061271"/>
    <w:rsid w:val="360D3DFA"/>
    <w:rsid w:val="377939F2"/>
    <w:rsid w:val="38AA5930"/>
    <w:rsid w:val="392626C6"/>
    <w:rsid w:val="3943735F"/>
    <w:rsid w:val="39965260"/>
    <w:rsid w:val="3A4D0C68"/>
    <w:rsid w:val="3AB964F3"/>
    <w:rsid w:val="3B003F2D"/>
    <w:rsid w:val="3EA347C1"/>
    <w:rsid w:val="3EDD5BC4"/>
    <w:rsid w:val="40384169"/>
    <w:rsid w:val="40B04500"/>
    <w:rsid w:val="40CA3013"/>
    <w:rsid w:val="42424E2B"/>
    <w:rsid w:val="427B5168"/>
    <w:rsid w:val="42870A90"/>
    <w:rsid w:val="42C13A9F"/>
    <w:rsid w:val="43076514"/>
    <w:rsid w:val="43783852"/>
    <w:rsid w:val="444F1F4F"/>
    <w:rsid w:val="447F7AC2"/>
    <w:rsid w:val="44A1236F"/>
    <w:rsid w:val="44F22F67"/>
    <w:rsid w:val="456B4496"/>
    <w:rsid w:val="493F377B"/>
    <w:rsid w:val="49AA1C33"/>
    <w:rsid w:val="4C9F589F"/>
    <w:rsid w:val="4D1E40A2"/>
    <w:rsid w:val="4DD04FF2"/>
    <w:rsid w:val="4DE01544"/>
    <w:rsid w:val="4E824F2D"/>
    <w:rsid w:val="4F6603AB"/>
    <w:rsid w:val="50B74C36"/>
    <w:rsid w:val="51D27F79"/>
    <w:rsid w:val="52F77B3F"/>
    <w:rsid w:val="535C7E63"/>
    <w:rsid w:val="54824DEE"/>
    <w:rsid w:val="54F86141"/>
    <w:rsid w:val="54F95756"/>
    <w:rsid w:val="553C7B08"/>
    <w:rsid w:val="562A45DB"/>
    <w:rsid w:val="564F41DF"/>
    <w:rsid w:val="565E6B78"/>
    <w:rsid w:val="56C43C09"/>
    <w:rsid w:val="574A2360"/>
    <w:rsid w:val="58307579"/>
    <w:rsid w:val="584D6470"/>
    <w:rsid w:val="5859300C"/>
    <w:rsid w:val="5874204B"/>
    <w:rsid w:val="587578B0"/>
    <w:rsid w:val="5B1769FD"/>
    <w:rsid w:val="5BCD355F"/>
    <w:rsid w:val="5BDE751B"/>
    <w:rsid w:val="5C4B03E3"/>
    <w:rsid w:val="5C4C0928"/>
    <w:rsid w:val="5C9D2F32"/>
    <w:rsid w:val="5D630203"/>
    <w:rsid w:val="5D90675D"/>
    <w:rsid w:val="5DBA3C92"/>
    <w:rsid w:val="5E5771CD"/>
    <w:rsid w:val="5E991CA2"/>
    <w:rsid w:val="5EBA601D"/>
    <w:rsid w:val="5F4B3119"/>
    <w:rsid w:val="5FE86BBA"/>
    <w:rsid w:val="61C0584D"/>
    <w:rsid w:val="625B3673"/>
    <w:rsid w:val="630C2BBF"/>
    <w:rsid w:val="64835103"/>
    <w:rsid w:val="64AF414A"/>
    <w:rsid w:val="658E1FB1"/>
    <w:rsid w:val="678C2521"/>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F1108E1"/>
    <w:rsid w:val="6FCC4427"/>
    <w:rsid w:val="7064403B"/>
    <w:rsid w:val="70726E22"/>
    <w:rsid w:val="709C1A26"/>
    <w:rsid w:val="70C8281B"/>
    <w:rsid w:val="715F2A54"/>
    <w:rsid w:val="71FE0A67"/>
    <w:rsid w:val="721675B7"/>
    <w:rsid w:val="721B2E1F"/>
    <w:rsid w:val="72AA443B"/>
    <w:rsid w:val="72C47013"/>
    <w:rsid w:val="72ED635E"/>
    <w:rsid w:val="73090EC9"/>
    <w:rsid w:val="73F73418"/>
    <w:rsid w:val="740A4908"/>
    <w:rsid w:val="74B5137A"/>
    <w:rsid w:val="74B530B7"/>
    <w:rsid w:val="74B60BDD"/>
    <w:rsid w:val="769D2054"/>
    <w:rsid w:val="76FB4FCD"/>
    <w:rsid w:val="775D3592"/>
    <w:rsid w:val="782642CC"/>
    <w:rsid w:val="784F06F1"/>
    <w:rsid w:val="786F3453"/>
    <w:rsid w:val="7A1A1E1A"/>
    <w:rsid w:val="7A1C2201"/>
    <w:rsid w:val="7B657E87"/>
    <w:rsid w:val="7C4C0B76"/>
    <w:rsid w:val="7C727ADF"/>
    <w:rsid w:val="7E1A3F8B"/>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6"/>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7"/>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8"/>
    <w:autoRedefine/>
    <w:qFormat/>
    <w:uiPriority w:val="99"/>
    <w:pPr>
      <w:autoSpaceDE w:val="0"/>
      <w:autoSpaceDN w:val="0"/>
      <w:adjustRightInd w:val="0"/>
      <w:jc w:val="left"/>
      <w:outlineLvl w:val="3"/>
    </w:pPr>
    <w:rPr>
      <w:kern w:val="0"/>
      <w:sz w:val="24"/>
      <w:szCs w:val="24"/>
    </w:rPr>
  </w:style>
  <w:style w:type="character" w:default="1" w:styleId="21">
    <w:name w:val="Default Paragraph Font"/>
    <w:autoRedefine/>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9"/>
    <w:unhideWhenUsed/>
    <w:qFormat/>
    <w:uiPriority w:val="99"/>
    <w:pPr>
      <w:spacing w:after="160" w:line="259" w:lineRule="auto"/>
    </w:pPr>
    <w:rPr>
      <w:rFonts w:ascii="等线" w:hAnsi="等线" w:eastAsia="等线"/>
      <w:sz w:val="20"/>
      <w:szCs w:val="20"/>
    </w:rPr>
  </w:style>
  <w:style w:type="paragraph" w:styleId="7">
    <w:name w:val="Body Text"/>
    <w:basedOn w:val="1"/>
    <w:next w:val="8"/>
    <w:link w:val="45"/>
    <w:autoRedefine/>
    <w:qFormat/>
    <w:uiPriority w:val="0"/>
    <w:rPr>
      <w:rFonts w:ascii="楷体_GB2312" w:hAnsi="Arial" w:eastAsia="楷体_GB2312"/>
      <w:kern w:val="0"/>
      <w:sz w:val="28"/>
      <w:szCs w:val="28"/>
    </w:rPr>
  </w:style>
  <w:style w:type="paragraph" w:styleId="8">
    <w:name w:val="Body Text 2"/>
    <w:basedOn w:val="1"/>
    <w:link w:val="48"/>
    <w:semiHidden/>
    <w:unhideWhenUsed/>
    <w:uiPriority w:val="99"/>
    <w:pPr>
      <w:spacing w:after="120" w:line="480" w:lineRule="auto"/>
    </w:pPr>
  </w:style>
  <w:style w:type="paragraph" w:styleId="9">
    <w:name w:val="Body Text Indent"/>
    <w:basedOn w:val="1"/>
    <w:next w:val="1"/>
    <w:link w:val="46"/>
    <w:autoRedefine/>
    <w:unhideWhenUsed/>
    <w:qFormat/>
    <w:uiPriority w:val="99"/>
    <w:pPr>
      <w:spacing w:line="400" w:lineRule="exact"/>
      <w:ind w:firstLine="540" w:firstLineChars="225"/>
    </w:pPr>
    <w:rPr>
      <w:sz w:val="24"/>
    </w:rPr>
  </w:style>
  <w:style w:type="paragraph" w:styleId="10">
    <w:name w:val="index 4"/>
    <w:basedOn w:val="1"/>
    <w:next w:val="1"/>
    <w:autoRedefine/>
    <w:unhideWhenUsed/>
    <w:qFormat/>
    <w:uiPriority w:val="99"/>
    <w:pPr>
      <w:ind w:left="600" w:leftChars="600"/>
    </w:pPr>
    <w:rPr>
      <w:rFonts w:ascii="等线" w:hAnsi="等线" w:eastAsia="等线" w:cs="宋体"/>
      <w:szCs w:val="24"/>
    </w:rPr>
  </w:style>
  <w:style w:type="paragraph" w:styleId="11">
    <w:name w:val="toc 3"/>
    <w:basedOn w:val="1"/>
    <w:next w:val="1"/>
    <w:autoRedefine/>
    <w:unhideWhenUsed/>
    <w:qFormat/>
    <w:uiPriority w:val="39"/>
    <w:pPr>
      <w:ind w:left="840" w:leftChars="400"/>
    </w:pPr>
  </w:style>
  <w:style w:type="paragraph" w:styleId="12">
    <w:name w:val="Date"/>
    <w:basedOn w:val="1"/>
    <w:next w:val="1"/>
    <w:autoRedefine/>
    <w:qFormat/>
    <w:uiPriority w:val="0"/>
    <w:pPr>
      <w:ind w:left="100" w:leftChars="2500"/>
    </w:pPr>
  </w:style>
  <w:style w:type="paragraph" w:styleId="13">
    <w:name w:val="Balloon Text"/>
    <w:basedOn w:val="1"/>
    <w:link w:val="30"/>
    <w:autoRedefine/>
    <w:unhideWhenUsed/>
    <w:qFormat/>
    <w:uiPriority w:val="99"/>
    <w:rPr>
      <w:sz w:val="18"/>
      <w:szCs w:val="18"/>
    </w:rPr>
  </w:style>
  <w:style w:type="paragraph" w:styleId="14">
    <w:name w:val="footer"/>
    <w:basedOn w:val="1"/>
    <w:link w:val="31"/>
    <w:unhideWhenUsed/>
    <w:uiPriority w:val="99"/>
    <w:pPr>
      <w:tabs>
        <w:tab w:val="center" w:pos="4153"/>
        <w:tab w:val="right" w:pos="8306"/>
      </w:tabs>
      <w:snapToGrid w:val="0"/>
      <w:jc w:val="left"/>
    </w:pPr>
    <w:rPr>
      <w:sz w:val="18"/>
      <w:szCs w:val="18"/>
    </w:rPr>
  </w:style>
  <w:style w:type="paragraph" w:styleId="15">
    <w:name w:val="header"/>
    <w:basedOn w:val="1"/>
    <w:link w:val="3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8">
    <w:name w:val="annotation subject"/>
    <w:basedOn w:val="6"/>
    <w:next w:val="6"/>
    <w:link w:val="33"/>
    <w:autoRedefine/>
    <w:unhideWhenUsed/>
    <w:uiPriority w:val="99"/>
    <w:pPr>
      <w:spacing w:after="0" w:line="240" w:lineRule="auto"/>
      <w:jc w:val="left"/>
    </w:pPr>
    <w:rPr>
      <w:b/>
      <w:bCs/>
      <w:sz w:val="21"/>
      <w:szCs w:val="22"/>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cs="Times New Roman"/>
      <w:b/>
      <w:bCs/>
    </w:rPr>
  </w:style>
  <w:style w:type="character" w:styleId="23">
    <w:name w:val="Hyperlink"/>
    <w:unhideWhenUsed/>
    <w:uiPriority w:val="99"/>
    <w:rPr>
      <w:color w:val="0000FF"/>
      <w:u w:val="single"/>
    </w:rPr>
  </w:style>
  <w:style w:type="character" w:styleId="24">
    <w:name w:val="annotation reference"/>
    <w:unhideWhenUsed/>
    <w:uiPriority w:val="99"/>
    <w:rPr>
      <w:sz w:val="21"/>
      <w:szCs w:val="21"/>
    </w:rPr>
  </w:style>
  <w:style w:type="character" w:customStyle="1" w:styleId="25">
    <w:name w:val="标题 1 Char"/>
    <w:link w:val="2"/>
    <w:uiPriority w:val="99"/>
    <w:rPr>
      <w:rFonts w:ascii="Times New Roman" w:hAnsi="Times New Roman" w:cs="Times New Roman"/>
      <w:kern w:val="0"/>
      <w:sz w:val="24"/>
      <w:szCs w:val="24"/>
    </w:rPr>
  </w:style>
  <w:style w:type="character" w:customStyle="1" w:styleId="26">
    <w:name w:val="标题 2 Char"/>
    <w:link w:val="3"/>
    <w:uiPriority w:val="99"/>
    <w:rPr>
      <w:rFonts w:ascii="Times New Roman" w:hAnsi="Times New Roman" w:cs="Times New Roman"/>
      <w:kern w:val="0"/>
      <w:sz w:val="24"/>
      <w:szCs w:val="24"/>
    </w:rPr>
  </w:style>
  <w:style w:type="character" w:customStyle="1" w:styleId="27">
    <w:name w:val="标题 3 Char"/>
    <w:link w:val="4"/>
    <w:uiPriority w:val="99"/>
    <w:rPr>
      <w:rFonts w:ascii="Times New Roman" w:hAnsi="Times New Roman" w:cs="Times New Roman"/>
      <w:kern w:val="0"/>
      <w:sz w:val="24"/>
      <w:szCs w:val="24"/>
    </w:rPr>
  </w:style>
  <w:style w:type="character" w:customStyle="1" w:styleId="28">
    <w:name w:val="标题 4 Char"/>
    <w:link w:val="5"/>
    <w:autoRedefine/>
    <w:qFormat/>
    <w:uiPriority w:val="99"/>
    <w:rPr>
      <w:rFonts w:ascii="Times New Roman" w:hAnsi="Times New Roman" w:cs="Times New Roman"/>
      <w:kern w:val="0"/>
      <w:sz w:val="24"/>
      <w:szCs w:val="24"/>
    </w:rPr>
  </w:style>
  <w:style w:type="character" w:customStyle="1" w:styleId="29">
    <w:name w:val="批注文字 Char"/>
    <w:link w:val="6"/>
    <w:autoRedefine/>
    <w:qFormat/>
    <w:uiPriority w:val="99"/>
    <w:rPr>
      <w:rFonts w:ascii="等线" w:hAnsi="等线" w:eastAsia="等线"/>
      <w:kern w:val="2"/>
    </w:rPr>
  </w:style>
  <w:style w:type="character" w:customStyle="1" w:styleId="30">
    <w:name w:val="批注框文本 Char"/>
    <w:link w:val="13"/>
    <w:autoRedefine/>
    <w:semiHidden/>
    <w:qFormat/>
    <w:uiPriority w:val="99"/>
    <w:rPr>
      <w:kern w:val="2"/>
      <w:sz w:val="18"/>
      <w:szCs w:val="18"/>
    </w:rPr>
  </w:style>
  <w:style w:type="character" w:customStyle="1" w:styleId="31">
    <w:name w:val="页脚 Char"/>
    <w:link w:val="14"/>
    <w:uiPriority w:val="99"/>
    <w:rPr>
      <w:kern w:val="2"/>
      <w:sz w:val="18"/>
      <w:szCs w:val="18"/>
    </w:rPr>
  </w:style>
  <w:style w:type="character" w:customStyle="1" w:styleId="32">
    <w:name w:val="页眉 Char"/>
    <w:link w:val="15"/>
    <w:autoRedefine/>
    <w:qFormat/>
    <w:uiPriority w:val="0"/>
    <w:rPr>
      <w:kern w:val="2"/>
      <w:sz w:val="18"/>
      <w:szCs w:val="18"/>
    </w:rPr>
  </w:style>
  <w:style w:type="character" w:customStyle="1" w:styleId="33">
    <w:name w:val="批注主题 Char"/>
    <w:link w:val="18"/>
    <w:autoRedefine/>
    <w:semiHidden/>
    <w:qFormat/>
    <w:uiPriority w:val="99"/>
    <w:rPr>
      <w:rFonts w:ascii="等线" w:hAnsi="等线" w:eastAsia="等线"/>
      <w:b/>
      <w:bCs/>
      <w:kern w:val="2"/>
      <w:sz w:val="21"/>
      <w:szCs w:val="22"/>
    </w:rPr>
  </w:style>
  <w:style w:type="character" w:customStyle="1" w:styleId="34">
    <w:name w:val="批注文字 Char1"/>
    <w:autoRedefine/>
    <w:semiHidden/>
    <w:qFormat/>
    <w:uiPriority w:val="99"/>
    <w:rPr>
      <w:kern w:val="2"/>
      <w:sz w:val="21"/>
      <w:szCs w:val="22"/>
    </w:rPr>
  </w:style>
  <w:style w:type="paragraph" w:styleId="35">
    <w:name w:val="List Paragraph"/>
    <w:basedOn w:val="1"/>
    <w:autoRedefine/>
    <w:qFormat/>
    <w:uiPriority w:val="0"/>
    <w:pPr>
      <w:ind w:firstLine="420" w:firstLineChars="200"/>
    </w:pPr>
  </w:style>
  <w:style w:type="paragraph" w:customStyle="1" w:styleId="36">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列出段落1"/>
    <w:basedOn w:val="1"/>
    <w:autoRedefine/>
    <w:qFormat/>
    <w:uiPriority w:val="0"/>
    <w:pPr>
      <w:ind w:firstLine="420" w:firstLineChars="200"/>
    </w:pPr>
  </w:style>
  <w:style w:type="paragraph" w:customStyle="1" w:styleId="39">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40">
    <w:name w:val="font11"/>
    <w:autoRedefine/>
    <w:qFormat/>
    <w:uiPriority w:val="0"/>
    <w:rPr>
      <w:rFonts w:hint="eastAsia" w:ascii="宋体" w:hAnsi="宋体" w:eastAsia="宋体" w:cs="宋体"/>
      <w:color w:val="000000"/>
      <w:sz w:val="18"/>
      <w:szCs w:val="18"/>
      <w:u w:val="none"/>
    </w:rPr>
  </w:style>
  <w:style w:type="character" w:customStyle="1" w:styleId="41">
    <w:name w:val="NormalCharacter"/>
    <w:autoRedefine/>
    <w:semiHidden/>
    <w:qFormat/>
    <w:uiPriority w:val="0"/>
  </w:style>
  <w:style w:type="character" w:customStyle="1" w:styleId="42">
    <w:name w:val="页脚 字符"/>
    <w:autoRedefine/>
    <w:qFormat/>
    <w:uiPriority w:val="99"/>
    <w:rPr>
      <w:kern w:val="2"/>
      <w:sz w:val="18"/>
      <w:szCs w:val="18"/>
    </w:rPr>
  </w:style>
  <w:style w:type="character" w:customStyle="1" w:styleId="43">
    <w:name w:val="font21"/>
    <w:basedOn w:val="21"/>
    <w:autoRedefine/>
    <w:qFormat/>
    <w:uiPriority w:val="0"/>
    <w:rPr>
      <w:rFonts w:hint="default" w:ascii="Times New Roman" w:hAnsi="Times New Roman" w:cs="Times New Roman"/>
      <w:color w:val="000000"/>
      <w:sz w:val="20"/>
      <w:szCs w:val="20"/>
      <w:u w:val="none"/>
    </w:rPr>
  </w:style>
  <w:style w:type="character" w:customStyle="1" w:styleId="44">
    <w:name w:val="font31"/>
    <w:basedOn w:val="21"/>
    <w:autoRedefine/>
    <w:qFormat/>
    <w:uiPriority w:val="0"/>
    <w:rPr>
      <w:rFonts w:ascii="MS Gothic" w:hAnsi="MS Gothic" w:eastAsia="MS Gothic" w:cs="MS Gothic"/>
      <w:color w:val="000000"/>
      <w:sz w:val="20"/>
      <w:szCs w:val="20"/>
      <w:u w:val="none"/>
    </w:rPr>
  </w:style>
  <w:style w:type="character" w:customStyle="1" w:styleId="45">
    <w:name w:val="正文文本 Char"/>
    <w:basedOn w:val="21"/>
    <w:link w:val="7"/>
    <w:autoRedefine/>
    <w:qFormat/>
    <w:uiPriority w:val="0"/>
    <w:rPr>
      <w:rFonts w:ascii="楷体_GB2312" w:hAnsi="Arial" w:eastAsia="楷体_GB2312"/>
      <w:sz w:val="28"/>
      <w:szCs w:val="28"/>
    </w:rPr>
  </w:style>
  <w:style w:type="character" w:customStyle="1" w:styleId="46">
    <w:name w:val="正文文本缩进 Char"/>
    <w:basedOn w:val="21"/>
    <w:link w:val="9"/>
    <w:autoRedefine/>
    <w:qFormat/>
    <w:uiPriority w:val="99"/>
    <w:rPr>
      <w:kern w:val="2"/>
      <w:sz w:val="24"/>
      <w:szCs w:val="22"/>
    </w:rPr>
  </w:style>
  <w:style w:type="paragraph" w:customStyle="1" w:styleId="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8">
    <w:name w:val="正文文本 2 Char"/>
    <w:basedOn w:val="21"/>
    <w:link w:val="8"/>
    <w:autoRedefine/>
    <w:semiHidden/>
    <w:qFormat/>
    <w:uiPriority w:val="99"/>
    <w:rPr>
      <w:kern w:val="2"/>
      <w:sz w:val="21"/>
      <w:szCs w:val="22"/>
    </w:rPr>
  </w:style>
  <w:style w:type="paragraph" w:customStyle="1" w:styleId="49">
    <w:name w:val="BodyTextIndent"/>
    <w:basedOn w:val="1"/>
    <w:autoRedefine/>
    <w:qFormat/>
    <w:uiPriority w:val="0"/>
    <w:pPr>
      <w:ind w:left="56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094F1-D4DE-425C-92E2-1420F8E8A7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18836</Words>
  <Characters>20110</Characters>
  <Lines>173</Lines>
  <Paragraphs>48</Paragraphs>
  <TotalTime>2</TotalTime>
  <ScaleCrop>false</ScaleCrop>
  <LinksUpToDate>false</LinksUpToDate>
  <CharactersWithSpaces>23039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影子</cp:lastModifiedBy>
  <cp:lastPrinted>2021-08-17T07:59:00Z</cp:lastPrinted>
  <dcterms:modified xsi:type="dcterms:W3CDTF">2024-07-12T07:53:57Z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B38599256692458198CDFE485CFD2AD0_13</vt:lpwstr>
  </property>
</Properties>
</file>