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YSHQ2024-ZB-0103</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盐城师范学院2024年春学期食堂大宗食品原料</w:t>
      </w:r>
    </w:p>
    <w:p>
      <w:pPr>
        <w:spacing w:line="700" w:lineRule="exact"/>
        <w:ind w:firstLine="2891" w:firstLineChars="800"/>
        <w:rPr>
          <w:rFonts w:ascii="宋体" w:hAnsi="宋体" w:cs="宋体"/>
          <w:b/>
          <w:bCs/>
          <w:sz w:val="32"/>
          <w:szCs w:val="32"/>
        </w:rPr>
      </w:pPr>
      <w:r>
        <w:rPr>
          <w:rFonts w:hint="eastAsia" w:ascii="宋体" w:hAnsi="宋体" w:cs="宋体"/>
          <w:b/>
          <w:bCs/>
          <w:sz w:val="36"/>
          <w:szCs w:val="36"/>
        </w:rPr>
        <w:t>（蔬菜、水产品）采购项目</w:t>
      </w: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hint="eastAsia" w:ascii="宋体" w:hAnsi="宋体" w:cs="黑体"/>
          <w:b/>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27</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30</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盐城师范学院2024年春学期食堂大宗食品原料（蔬菜、水产品）采购项目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YSHQ2024-ZB-0103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盐城师范学院2024年春学期食堂大宗食品原料（蔬菜、水产品）采购项目 </w:t>
      </w:r>
      <w:r>
        <w:rPr>
          <w:rFonts w:hint="eastAsia" w:ascii="宋体" w:hAnsi="宋体" w:cs="Dotum"/>
          <w:kern w:val="0"/>
          <w:sz w:val="24"/>
          <w:szCs w:val="24"/>
        </w:rPr>
        <w:t>；</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3.最高限价：</w:t>
      </w:r>
      <w:r>
        <w:rPr>
          <w:rFonts w:hint="eastAsia" w:ascii="宋体" w:hAnsi="宋体" w:cs="Dotum"/>
          <w:kern w:val="0"/>
          <w:sz w:val="24"/>
          <w:szCs w:val="24"/>
          <w:u w:val="single"/>
        </w:rPr>
        <w:t>蔬菜以“蔬菜大棚”和“地产”类蔬菜最底价为依据，在最底价基础上（报浮动率%）进行报价，浮动率上浮不得超过95%，否则为无效报价。水产品以“水产”最底价为依据，在最底价基础上（报浮动率%）进行报价，浮动率上浮不得超过50%，否则为无效报价</w:t>
      </w:r>
      <w:r>
        <w:rPr>
          <w:rFonts w:hint="eastAsia" w:ascii="宋体" w:hAnsi="宋体" w:cs="Dotum"/>
          <w:kern w:val="0"/>
          <w:sz w:val="24"/>
          <w:szCs w:val="24"/>
        </w:rPr>
        <w:t>；</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4.采购需求：</w:t>
      </w:r>
      <w:r>
        <w:rPr>
          <w:rFonts w:hint="eastAsia" w:ascii="宋体" w:hAnsi="宋体" w:cs="Dotum"/>
          <w:kern w:val="0"/>
          <w:sz w:val="24"/>
          <w:szCs w:val="24"/>
          <w:u w:val="single"/>
        </w:rPr>
        <w:t>详情见招标文件项目需求</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5.合同履行期限：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6.本项目不接受联合体投标；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7.本项目不接受进口产品参与投标。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(1)有效期内的运货车辆行驶证复印件和保险凭单。</w:t>
      </w:r>
    </w:p>
    <w:p>
      <w:pPr>
        <w:spacing w:line="480" w:lineRule="exact"/>
        <w:ind w:firstLine="480" w:firstLineChars="200"/>
        <w:rPr>
          <w:rFonts w:ascii="宋体" w:hAnsi="宋体"/>
          <w:bCs/>
          <w:sz w:val="24"/>
          <w:szCs w:val="24"/>
        </w:rPr>
      </w:pPr>
      <w:r>
        <w:rPr>
          <w:rFonts w:hint="eastAsia" w:ascii="宋体" w:hAnsi="宋体"/>
          <w:bCs/>
          <w:sz w:val="24"/>
          <w:szCs w:val="24"/>
        </w:rPr>
        <w:t>(2)未被“信用中国”网站（www.creditchina.gov.cn）列入失信被执行人、重大税收违法案件当事人名单、政府采购严重失信行为记录名单。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2024年1月30日上午9：00；盐城师范学院新长校区后勤综合楼三楼招标会议室。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796"/>
      <w:bookmarkStart w:id="2" w:name="_Toc35393627"/>
      <w:bookmarkStart w:id="3" w:name="_Toc28359008"/>
      <w:bookmarkStart w:id="4" w:name="_Toc28359085"/>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2024年1月</w:t>
      </w:r>
      <w:r>
        <w:rPr>
          <w:rStyle w:val="37"/>
          <w:rFonts w:hint="eastAsia" w:ascii="宋体" w:hAnsi="宋体"/>
          <w:sz w:val="24"/>
          <w:lang w:val="en-US" w:eastAsia="zh-CN"/>
        </w:rPr>
        <w:t>9</w:t>
      </w:r>
      <w:r>
        <w:rPr>
          <w:rStyle w:val="37"/>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327"/>
      <w:bookmarkStart w:id="30" w:name="_Toc155527169"/>
      <w:bookmarkStart w:id="31" w:name="_Toc47629959"/>
      <w:r>
        <w:rPr>
          <w:rFonts w:hint="eastAsia" w:ascii="宋体" w:hAnsi="宋体"/>
          <w:b/>
          <w:color w:val="000000"/>
          <w:sz w:val="44"/>
          <w:szCs w:val="44"/>
        </w:rPr>
        <w:t>第三章  合同条款及格式</w:t>
      </w:r>
      <w:bookmarkEnd w:id="29"/>
      <w:bookmarkEnd w:id="30"/>
      <w:bookmarkEnd w:id="31"/>
    </w:p>
    <w:p>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甲乙双方根据盐城师范学院2024年春学期食堂大宗食品原料（蔬菜、水产品）采购项目公开招标的结果，签署本合同。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一、货物名称：蔬菜、水产品</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乙方应提供具有相关资质第三方出具的配送蔬菜、水产品检测报告，蔬菜、水产品质量达到市场新鲜一级标准，品相不低于甲方质量要求。</w:t>
      </w:r>
    </w:p>
    <w:p>
      <w:pPr>
        <w:spacing w:before="100" w:beforeAutospacing="1" w:after="100" w:afterAutospacing="1" w:line="480" w:lineRule="exact"/>
        <w:jc w:val="center"/>
        <w:rPr>
          <w:rFonts w:ascii="宋体" w:hAnsi="宋体" w:cs="宋体"/>
          <w:b/>
          <w:sz w:val="24"/>
          <w:szCs w:val="24"/>
        </w:rPr>
      </w:pPr>
      <w:r>
        <w:rPr>
          <w:rFonts w:hint="eastAsia" w:ascii="宋体" w:hAnsi="宋体" w:cs="宋体"/>
          <w:b/>
          <w:sz w:val="24"/>
          <w:szCs w:val="24"/>
        </w:rPr>
        <w:t>蔬菜质量验收标准</w:t>
      </w:r>
    </w:p>
    <w:tbl>
      <w:tblPr>
        <w:tblStyle w:val="15"/>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0"/>
                <w:szCs w:val="20"/>
              </w:rPr>
            </w:pPr>
            <w:r>
              <w:rPr>
                <w:rFonts w:hint="eastAsia" w:ascii="宋体" w:hAnsi="宋体" w:cs="宋体"/>
                <w:sz w:val="20"/>
                <w:szCs w:val="20"/>
              </w:rPr>
              <w:t>品名</w:t>
            </w:r>
          </w:p>
        </w:tc>
        <w:tc>
          <w:tcPr>
            <w:tcW w:w="883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0"/>
                <w:szCs w:val="20"/>
              </w:rPr>
            </w:pPr>
            <w:r>
              <w:rPr>
                <w:rFonts w:hint="eastAsia" w:ascii="宋体" w:hAnsi="宋体" w:cs="宋体"/>
                <w:sz w:val="20"/>
                <w:szCs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sz w:val="20"/>
                <w:szCs w:val="20"/>
              </w:rPr>
            </w:pPr>
            <w:r>
              <w:rPr>
                <w:rFonts w:hint="eastAsia" w:ascii="宋体" w:hAnsi="宋体" w:cs="宋体"/>
                <w:sz w:val="20"/>
                <w:szCs w:val="20"/>
              </w:rPr>
              <w:t>青菜</w:t>
            </w:r>
          </w:p>
        </w:tc>
        <w:tc>
          <w:tcPr>
            <w:tcW w:w="8838"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sz w:val="20"/>
                <w:szCs w:val="20"/>
              </w:rPr>
            </w:pPr>
            <w:r>
              <w:rPr>
                <w:rFonts w:hint="eastAsia" w:ascii="宋体" w:hAnsi="宋体" w:cs="宋体"/>
                <w:sz w:val="20"/>
                <w:szCs w:val="20"/>
              </w:rPr>
              <w:t>梗白色或浅绿色，较嫩，叶子深绿色，整棵菜水份充足，无根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韭菜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叶较宽，挺直，翠绿色（无黄叶），根部洁白，软嫩且有韭菜味，根株均匀，长</w:t>
            </w:r>
            <w:r>
              <w:rPr>
                <w:rFonts w:ascii="宋体" w:hAnsi="宋体" w:cs="宋体"/>
                <w:sz w:val="20"/>
                <w:szCs w:val="20"/>
              </w:rPr>
              <w:t>20</w:t>
            </w:r>
            <w:r>
              <w:rPr>
                <w:rFonts w:hint="eastAsia" w:ascii="宋体" w:hAnsi="宋体" w:cs="宋体"/>
                <w:sz w:val="20"/>
                <w:szCs w:val="20"/>
              </w:rPr>
              <w:t>厘米以内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韭黄</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叶肥挺，稍弯曲，色泽淡黄，香味浓郁，长</w:t>
            </w:r>
            <w:r>
              <w:rPr>
                <w:rFonts w:ascii="宋体" w:hAnsi="宋体" w:cs="宋体"/>
                <w:sz w:val="20"/>
                <w:szCs w:val="20"/>
              </w:rPr>
              <w:t>20</w:t>
            </w:r>
            <w:r>
              <w:rPr>
                <w:rFonts w:hint="eastAsia" w:ascii="宋体" w:hAnsi="宋体" w:cs="宋体"/>
                <w:sz w:val="20"/>
                <w:szCs w:val="20"/>
              </w:rPr>
              <w:t>厘米以内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芹菜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叶翠绿，分枝少，根细，茎挺直，脆，芹菜香味，水份充足，长约</w:t>
            </w:r>
            <w:r>
              <w:rPr>
                <w:rFonts w:ascii="宋体" w:hAnsi="宋体" w:cs="宋体"/>
                <w:sz w:val="20"/>
                <w:szCs w:val="20"/>
              </w:rPr>
              <w:t>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水芹</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叶嫩绿或黄绿，茎、根部呈白色，茎细软，中间空、水份充足，有清香味，长约</w:t>
            </w:r>
            <w:r>
              <w:rPr>
                <w:rFonts w:ascii="宋体" w:hAnsi="宋体" w:cs="宋体"/>
                <w:sz w:val="20"/>
                <w:szCs w:val="20"/>
              </w:rPr>
              <w:t>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西芹</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叶茎宽厚，颜色深绿，新鲜肥嫩，爽口无渣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菠菜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颜色碧绿，平嫩，叶子大、挺直，根桃红，无主茎且无柄无红色，棵株适当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生菜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颜色鲜艳，淡绿，叶子水份充足，脆嫩薄、可竖起，棵株挺直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空心菜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叶薄小翠绿，有光泽，棵株挺直，梗细嫩脆、淡绿色易折断，棵株约</w:t>
            </w:r>
            <w:r>
              <w:rPr>
                <w:rFonts w:ascii="宋体" w:hAnsi="宋体" w:cs="宋体"/>
                <w:sz w:val="20"/>
                <w:szCs w:val="20"/>
              </w:rPr>
              <w:t>15</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芥菜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叶大而薄、深绿色、柄嫩绿脆，无主茎，叶株挺直，水份充足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苋菜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有红绿两种，叶子为绿色或红色，叶大薄软，有光泽，茎细短、光滑嫩脆，棵株挺直，水份充足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香葱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叶翠绿、饱满充气，均匀细长、鳞茎洁白、挺直、香味浓郁，长</w:t>
            </w:r>
            <w:r>
              <w:rPr>
                <w:rFonts w:ascii="宋体" w:hAnsi="宋体" w:cs="宋体"/>
                <w:sz w:val="20"/>
                <w:szCs w:val="20"/>
              </w:rPr>
              <w:t>15-30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胡葱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叶翠绿、饱满充气，均匀细长、鳞茎洁白、挺直、香味浓郁，长</w:t>
            </w:r>
            <w:r>
              <w:rPr>
                <w:rFonts w:ascii="宋体" w:hAnsi="宋体" w:cs="宋体"/>
                <w:sz w:val="20"/>
                <w:szCs w:val="20"/>
              </w:rPr>
              <w:t>15-30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大蒜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叶翠绿、薄嫩、挺直，蒜茎洁白，水份充足，外表无水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香菜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翠绿、挺直、根部无泥、香气重、水份充足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青椒</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长形或萝卜形，颜色碧绿，有光泽、表面光滑，饱满有一定硬度和弹性，肉层中等有辣味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蕃茄</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颜色大红、粉红或黄色、光泽亮艳，个大圆整，饱满有弹性，至少八成熟，肉厚籽少，味甜中带酸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大白菜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外叶淡绿色、奶黄色、内叶乳白色，叶新鲜光泽，棵株大，完整，包心坚实紧密，根部断面洁白完整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包菜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外叶淡绿色、内叶淡黄色，叶肥厚脆嫩，棵株大，完整，包心坚实紧密，根部断面洁白完整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大葱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葱叶为管状、浅绿色，葱白长、紧实、挺直，无根、长约</w:t>
            </w:r>
            <w:r>
              <w:rPr>
                <w:rFonts w:ascii="宋体" w:hAnsi="宋体" w:cs="宋体"/>
                <w:sz w:val="20"/>
                <w:szCs w:val="20"/>
              </w:rPr>
              <w:t>50</w:t>
            </w:r>
            <w:r>
              <w:rPr>
                <w:rFonts w:hint="eastAsia" w:ascii="宋体" w:hAnsi="宋体" w:cs="宋体"/>
                <w:sz w:val="20"/>
                <w:szCs w:val="20"/>
              </w:rPr>
              <w:t>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茄子</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紫色，表面光滑有光泽，有弹性不软，皮薄肉嫩籽少，个体均匀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蒜苔</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颜色深绿、梗细滑、有光泽、挺直、鲜嫩、指甲掐之易断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花菜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花蕾颜色洁白或乳白（无霉斑）、紧实不散，球形完整、表面湿润，花梗乳白或淡绿，紧凑，外叶绿色且少，主茎短，断面洁白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西兰花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花蕾颜色深绿（无黄花）、功密紧实不散（花籽不开），球形完整、表面有白霜，花梗深绿、紧凑，外叶绿色且少，主茎短（</w:t>
            </w:r>
            <w:r>
              <w:rPr>
                <w:rFonts w:ascii="宋体" w:hAnsi="宋体" w:cs="宋体"/>
                <w:sz w:val="20"/>
                <w:szCs w:val="20"/>
              </w:rPr>
              <w:t>2</w:t>
            </w:r>
            <w:r>
              <w:rPr>
                <w:rFonts w:hint="eastAsia" w:ascii="宋体" w:hAnsi="宋体" w:cs="宋体"/>
                <w:sz w:val="20"/>
                <w:szCs w:val="20"/>
              </w:rPr>
              <w:t>指宽）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黄瓜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颜色青绿，瓜身细短、条直均匀，瓜把小，带顶花带刺，有白霜或光泽，肉脆甜、瓤小籽少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冬瓜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皮青翠，有白霜，肉洁白、厚嫩、紧密，膛小，有一定硬度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丝瓜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颜色翠绿、薄嫩、有白霜，条直均匀、细长挺直，易断无弹性，肉洁白软嫩、子小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苦瓜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颜色淡绿色有光泽，凸处明显，条直均匀，有一定硬度，瓤黄白，子小、味苦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南瓜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颜色金黄色或橙黄色，瓜形周正，肉金黄紧密、粉甜，表面硬实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佛手瓜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颜色浅绿色，佛手形，有一定硬度，皮脆硬，肉晶莹透明，瓜形正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颜色青绿、表面有黄色绒毛，豆荚饱满，剥开后豆粒呈淡绿色、完整、有清香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四季豆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颜色翠绿色、表面有细绒毛，豆荚细长均匀，水分充足。饱满有韧性、能弯曲，指甲掐之后有痕，断之容易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荷兰豆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颜色嫩绿有光泽，豆荚挺直，折之易断，筋丝不明显，豆粒小而无。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黄豆芽</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豆芽挺直，芽身短而粗，根须少，芽色洁白晶莹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绿豆芽</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豆芽挺直，芽身短而粗，根须少，芽色洁白晶莹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土豆</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颜色为淡黄色或奶白色，个大形正、大小整齐，表皮光滑，体硬不软，饱满，不能发青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洋葱</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鳞片颜色粉白或紫白，鳞片肥厚，完整无损，抱合紧密，球茎干度适中，有一定硬度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红薯</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颜色粉红或淡黄色，依品种而定，个大形正，大小整齐，表面无伤，体硬不软、饱满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生姜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颜色淡黄，表皮完整，姜体脆硬，肥大有姜味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蒜头</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颜色白色或紫色，蒜皮干燥，蒜瓣结实不散，有硬度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胡萝卜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颜色红色可橘黄色，表面光滑、条直匀称，粗壮、硬实不软、肉质甜脆、中心柱细小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白萝卜</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颜色洁白光亮，表面光滑、细腻，形体完整、份量重，底部切面洁白，水分大，肉嫩脆、味甜适中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毛芋头</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颜色为红褐色，表皮粗糙，断面肉质洁白，且有紫色斑点，不硬心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莲藕</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表皮颜色白中带黄，藕节肥大，无叉，水分充足，肉洁白脆嫩，藕节一般为</w:t>
            </w:r>
            <w:r>
              <w:rPr>
                <w:rFonts w:ascii="宋体" w:hAnsi="宋体" w:cs="宋体"/>
                <w:sz w:val="20"/>
                <w:szCs w:val="20"/>
              </w:rPr>
              <w:t>3-4</w:t>
            </w:r>
            <w:r>
              <w:rPr>
                <w:rFonts w:hint="eastAsia" w:ascii="宋体" w:hAnsi="宋体" w:cs="宋体"/>
                <w:sz w:val="20"/>
                <w:szCs w:val="20"/>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毛茭白</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叶颜色青绿，完整，茎粗壮、肉肥厚较嫩，颜色洁白或淡黄色，折之易断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竹笋</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笋壳淡黄色，有光泽，笋体粗壮、充实、饱满，肉质洁白较嫩，水分多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毛茨菰</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外包膜颜色淡黄、顶端尖芽淡黄色，形大饱满、洁净、肉乳白细腻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香菇</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菌盖颜色褐色、有光泽、菌耀为淡米色或乳白色，菌身完整无损，不湿，菌盖大、有弹性、柄短小，香味浓、重量轻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平菇</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菌为洁白色或浅黑色，菌身完整、大小均匀，菌盖与柄、菌环相连未展开，根短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芦笋</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绿笋长度</w:t>
            </w:r>
            <w:r>
              <w:rPr>
                <w:rFonts w:ascii="宋体" w:hAnsi="宋体" w:cs="宋体"/>
                <w:sz w:val="20"/>
                <w:szCs w:val="20"/>
              </w:rPr>
              <w:t>24-26cm</w:t>
            </w:r>
            <w:r>
              <w:rPr>
                <w:rFonts w:hint="eastAsia" w:ascii="宋体" w:hAnsi="宋体" w:cs="宋体"/>
                <w:sz w:val="20"/>
                <w:szCs w:val="20"/>
              </w:rPr>
              <w:t>，直径在</w:t>
            </w:r>
            <w:r>
              <w:rPr>
                <w:rFonts w:ascii="宋体" w:hAnsi="宋体" w:cs="宋体"/>
                <w:sz w:val="20"/>
                <w:szCs w:val="20"/>
              </w:rPr>
              <w:t>0.8-2.0cm</w:t>
            </w:r>
            <w:r>
              <w:rPr>
                <w:rFonts w:hint="eastAsia" w:ascii="宋体" w:hAnsi="宋体" w:cs="宋体"/>
                <w:sz w:val="20"/>
                <w:szCs w:val="20"/>
              </w:rPr>
              <w:t>。鲜嫩翠绿无断裂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茼蒿</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鲜度良好，无腐烂，无枯叶，茎部不可太长且不可无叶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0"/>
                <w:szCs w:val="20"/>
              </w:rPr>
            </w:pPr>
            <w:r>
              <w:rPr>
                <w:rFonts w:hint="eastAsia" w:ascii="宋体" w:hAnsi="宋体" w:cs="宋体"/>
                <w:sz w:val="20"/>
                <w:szCs w:val="20"/>
              </w:rPr>
              <w:t>金针菇</w:t>
            </w:r>
          </w:p>
        </w:tc>
        <w:tc>
          <w:tcPr>
            <w:tcW w:w="883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0"/>
                <w:szCs w:val="20"/>
              </w:rPr>
            </w:pPr>
            <w:r>
              <w:rPr>
                <w:rFonts w:hint="eastAsia" w:ascii="宋体" w:hAnsi="宋体" w:cs="宋体"/>
                <w:sz w:val="20"/>
                <w:szCs w:val="20"/>
              </w:rPr>
              <w:t>菌盖颜色乳白、菌柄淡黄色、根部淡褐色，菌身细短，挺直</w:t>
            </w:r>
          </w:p>
        </w:tc>
      </w:tr>
    </w:tbl>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五、货物配送与验收</w:t>
      </w:r>
    </w:p>
    <w:p>
      <w:pPr>
        <w:spacing w:line="480" w:lineRule="exact"/>
        <w:ind w:firstLine="480" w:firstLineChars="200"/>
        <w:rPr>
          <w:rFonts w:ascii="宋体" w:hAnsi="宋体" w:cs="宋体"/>
          <w:sz w:val="24"/>
          <w:szCs w:val="24"/>
        </w:rPr>
      </w:pPr>
      <w:r>
        <w:rPr>
          <w:rFonts w:hint="eastAsia" w:ascii="宋体" w:hAnsi="宋体" w:cs="宋体"/>
          <w:sz w:val="24"/>
          <w:szCs w:val="24"/>
        </w:rPr>
        <w:t>1.货物配送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（2）送货时间：定货次日早上6点30分之前。</w:t>
      </w:r>
    </w:p>
    <w:p>
      <w:pPr>
        <w:spacing w:line="480" w:lineRule="exact"/>
        <w:ind w:firstLine="480" w:firstLineChars="200"/>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2.货物验收：乙方每批次提供的货物，必须经甲方采供中心、餐饮服务中心验收人员联合验收合格并签单后才能视为有效，否则均视为无效供货。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六、供货品种及价格</w:t>
      </w:r>
    </w:p>
    <w:p>
      <w:pPr>
        <w:spacing w:line="480" w:lineRule="exact"/>
        <w:ind w:firstLine="480" w:firstLineChars="200"/>
        <w:rPr>
          <w:rFonts w:ascii="宋体" w:hAnsi="宋体" w:cs="宋体"/>
          <w:sz w:val="24"/>
          <w:szCs w:val="24"/>
        </w:rPr>
      </w:pPr>
      <w:r>
        <w:rPr>
          <w:rFonts w:hint="eastAsia" w:ascii="宋体" w:hAnsi="宋体" w:cs="宋体"/>
          <w:sz w:val="24"/>
          <w:szCs w:val="24"/>
        </w:rPr>
        <w:t>供货价格：</w:t>
      </w:r>
      <w:r>
        <w:rPr>
          <w:rFonts w:hint="eastAsia" w:ascii="宋体" w:hAnsi="宋体" w:cs="宋体"/>
          <w:spacing w:val="-4"/>
          <w:sz w:val="24"/>
          <w:szCs w:val="24"/>
        </w:rPr>
        <w:t>乙方以江苏凌家塘市场发展有限公司</w:t>
      </w:r>
      <w:r>
        <w:rPr>
          <w:rFonts w:hint="eastAsia" w:ascii="宋体" w:hAnsi="宋体" w:cs="宋体"/>
          <w:sz w:val="24"/>
          <w:szCs w:val="24"/>
        </w:rPr>
        <w:t>网站公布的凌家塘市场菜价公示 “蔬菜大棚”和“地产”类蔬菜最底价*（1+乙方中标费率（浮动率    %））、“水产”区水产品最底价*（1+乙方中标费率（浮动率    %））分别向甲方供应符合国家检验检疫标准的优质蔬菜及优质水产。之后每周一为本周询价、定价日，如遇定价日网站未更新价格或没有的品种等特殊情况则以前一日的价格定价。</w:t>
      </w:r>
    </w:p>
    <w:p>
      <w:pPr>
        <w:spacing w:line="480" w:lineRule="exact"/>
        <w:ind w:firstLine="480" w:firstLineChars="200"/>
        <w:rPr>
          <w:rFonts w:ascii="宋体" w:hAnsi="宋体" w:cs="宋体"/>
          <w:sz w:val="24"/>
          <w:szCs w:val="24"/>
        </w:rPr>
      </w:pPr>
      <w:r>
        <w:rPr>
          <w:rFonts w:hint="eastAsia" w:ascii="宋体" w:hAnsi="宋体" w:cs="宋体"/>
          <w:sz w:val="24"/>
          <w:szCs w:val="24"/>
        </w:rPr>
        <w:t>七、付款方式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八、违约责任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2.乙方应严格按招标文件规定的质量标准和投标时提供的样品质量标准进行供货。出现以上质量问题按下列条款进行处罚：</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的蔬菜、水产品低于配送餐厅该品种蔬菜、水产品重量10%，由餐厅主任、验收人员及乙方人员现场确认重量，乙方人员如不在现场则保留图片资料，由乙方负责及时调换或核减数量，确保不影响餐厅的正常工作。 </w:t>
      </w:r>
    </w:p>
    <w:p>
      <w:pPr>
        <w:spacing w:line="480" w:lineRule="exact"/>
        <w:ind w:firstLine="480" w:firstLineChars="200"/>
        <w:rPr>
          <w:rFonts w:ascii="宋体" w:hAnsi="宋体" w:cs="宋体"/>
          <w:sz w:val="24"/>
          <w:szCs w:val="24"/>
        </w:rPr>
      </w:pPr>
      <w:r>
        <w:rPr>
          <w:rFonts w:hint="eastAsia" w:ascii="宋体" w:hAnsi="宋体" w:cs="宋体"/>
          <w:sz w:val="24"/>
          <w:szCs w:val="24"/>
        </w:rPr>
        <w:t>（2）腐败变质的蔬菜、水产品占配送餐厅该品种蔬菜、水产品重量10-20%，由餐厅主任、验收人员及乙方人员现场确认，乙方人员如不在现场则保留图片资料，由乙方负责及时调换，确保不影响餐厅的正常工作。该品种蔬菜、水产品当日在配送餐厅的货款全部不予结算，并罚款500.00元/次。</w:t>
      </w:r>
    </w:p>
    <w:p>
      <w:pPr>
        <w:spacing w:line="480" w:lineRule="exact"/>
        <w:ind w:firstLine="480" w:firstLineChars="200"/>
        <w:rPr>
          <w:rFonts w:ascii="宋体" w:hAnsi="宋体" w:cs="宋体"/>
          <w:sz w:val="24"/>
          <w:szCs w:val="24"/>
        </w:rPr>
      </w:pPr>
      <w:r>
        <w:rPr>
          <w:rFonts w:hint="eastAsia" w:ascii="宋体" w:hAnsi="宋体" w:cs="宋体"/>
          <w:sz w:val="24"/>
          <w:szCs w:val="24"/>
        </w:rPr>
        <w:t>（3）腐败变质的蔬菜、水产品占配送餐厅该品种蔬菜、水产品重量20%以上，由餐厅主任、验收人员及乙方人员现场确认，乙方人员如不在现场则保留图片资料，由乙方负责及时调换，确保不影响餐厅的正常工作。该品种蔬菜、水产品当日在全校餐厅的货款全部不予结算，并罚款2000.00元/次。</w:t>
      </w:r>
    </w:p>
    <w:p>
      <w:pPr>
        <w:spacing w:line="480" w:lineRule="exact"/>
        <w:ind w:firstLine="480" w:firstLineChars="200"/>
        <w:rPr>
          <w:rFonts w:ascii="宋体" w:hAnsi="宋体" w:cs="宋体"/>
          <w:sz w:val="24"/>
          <w:szCs w:val="24"/>
        </w:rPr>
      </w:pPr>
      <w:r>
        <w:rPr>
          <w:rFonts w:hint="eastAsia" w:ascii="宋体" w:hAnsi="宋体" w:cs="宋体"/>
          <w:sz w:val="24"/>
          <w:szCs w:val="24"/>
        </w:rPr>
        <w:t>（4）连续发生3次第3条质量问题的，甲方有权单方面终止合同。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九、免除责任条款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由于国家政策的规定以及发生不可抗力原因造成甲、乙双方不能履行合同，双方均不承担违约责任（不可抗力的范围按照《民法典》的解释）。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3.在诉讼期间，甲方有权另行选择供应商。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十一、合同生效及其他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合同经甲方、乙方代表签名盖章，一式4份，甲、乙双方各2份。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1、采购内容：蔬菜、水产品；</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2、（1）</w:t>
      </w:r>
      <w:r>
        <w:rPr>
          <w:rFonts w:hint="eastAsia" w:ascii="宋体" w:hAnsi="宋体" w:cs="宋体"/>
          <w:spacing w:val="-10"/>
          <w:kern w:val="0"/>
          <w:sz w:val="24"/>
          <w:szCs w:val="24"/>
        </w:rPr>
        <w:t>蔬菜供货价格以江苏凌家塘市场发展有限公司</w:t>
      </w:r>
      <w:r>
        <w:rPr>
          <w:rFonts w:hint="eastAsia" w:ascii="宋体" w:hAnsi="宋体" w:cs="宋体"/>
          <w:kern w:val="0"/>
          <w:sz w:val="24"/>
          <w:szCs w:val="24"/>
        </w:rPr>
        <w:t>网站公布的凌家塘市场菜价公示：“蔬菜大棚”和“地产”类蔬菜最底价为依据，成交供应商所报费率（浮动率    %）向采购人供应符合国家检验检疫标准的优质蔬菜。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pacing w:val="-10"/>
          <w:kern w:val="0"/>
          <w:sz w:val="24"/>
          <w:szCs w:val="24"/>
        </w:rPr>
        <w:t>水产供货价格以江苏凌家塘市场发展有限公司（</w:t>
      </w:r>
      <w:r>
        <w:rPr>
          <w:rFonts w:hint="eastAsia" w:ascii="宋体" w:hAnsi="宋体" w:cs="宋体"/>
          <w:kern w:val="0"/>
          <w:sz w:val="24"/>
          <w:szCs w:val="24"/>
        </w:rPr>
        <w:t>网站公布的凌家塘市场菜价公示：“水产”区水产品最底价为依据，成交供应商所报费率（浮动率    %）向采购人供应符合国家检验检疫标准的优质水产品。</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供货数量以高校后勤采供管理系统（http://211.65.1.76:9080/hq）每天下午四点生成的第二日供货订单为准。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二、质量、验收标准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1、成交供应商所提供的食品、产品必须安全无害，符合国家规定标准。</w:t>
      </w:r>
    </w:p>
    <w:p>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2、成交供应商应按采购人计划要求，按本文件规定的品种、规格、质量提供成品食品原料。包装类食品产品送达日剩余保质期天数须大于产品总保质期2/3的天数，否则采购人有权拒绝收货。</w:t>
      </w: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成交供应商应严格按照采购人要求的供应计划按时按量进行供应，除不可抗力原因外，逾时缺量供应由成交供应商承担相关损失。不按计划的超量供应采购人有权拒收，造成损失由成交供应商自负。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2、成交供应商必须按照采购人要求或采购人委托单位的供应计划分次逐步供应。成交供应商应充分考虑供应的跨时性、分散性等因素进行报价。成交供应商以此为由要求提价或停止供货均视为严重违约行为。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基建处、后勤保障集团采供中心凭供应商提供的有效税务发票和采购人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2、因供应商不能及时提供结算凭证，造成采购人不能及时核算的，供应商应承违约方责任，采购人不承担责任。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3、要求成交供应商资质、汇款账号、结算凭证（发票）三者统一，货款汇入中标方对公账户。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4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（3</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1.蔬菜报价方式：以江苏凌家塘市场发展有限公司网站公布的凌家塘市场菜价公示，“蔬菜大棚”和“地产”类蔬菜最底价为依据，在最底价基础上（报浮动率%）进行报价。价格分计算方式：以满足招标文件要求的最低报价（1+最低投标浮动率）为基准价，</w:t>
            </w:r>
            <w:r>
              <w:rPr>
                <w:rFonts w:hint="eastAsia" w:ascii="宋体" w:hAnsi="宋体"/>
                <w:b/>
                <w:sz w:val="24"/>
                <w:szCs w:val="24"/>
              </w:rPr>
              <w:t>得28分</w:t>
            </w:r>
            <w:r>
              <w:rPr>
                <w:rFonts w:hint="eastAsia" w:ascii="宋体" w:hAnsi="宋体"/>
                <w:sz w:val="24"/>
                <w:szCs w:val="24"/>
              </w:rPr>
              <w:t>，其他报价得分＝基准价÷其他投标报价×28，即（1+最低投标浮动率）÷（1+其他投标浮动率）×28（四舍五入后保留小数点后两位）。</w:t>
            </w:r>
          </w:p>
          <w:p>
            <w:pPr>
              <w:ind w:firstLine="480" w:firstLineChars="200"/>
              <w:jc w:val="left"/>
              <w:rPr>
                <w:rFonts w:ascii="宋体" w:hAnsi="宋体"/>
                <w:sz w:val="24"/>
                <w:szCs w:val="24"/>
              </w:rPr>
            </w:pPr>
            <w:r>
              <w:rPr>
                <w:rFonts w:hint="eastAsia" w:ascii="宋体" w:hAnsi="宋体"/>
                <w:sz w:val="24"/>
                <w:szCs w:val="24"/>
              </w:rPr>
              <w:t>2.水产品报价方式：以江苏凌家塘市场发展有限公司网站公布的凌家塘市场菜价公示，“水产”区水产品最底价为依据，在最底价基础上（报浮动率%）进行报价。价格分计算方式：以满足招标文件要求的最低报价（1+最低投标浮动率）为基准价，</w:t>
            </w:r>
            <w:r>
              <w:rPr>
                <w:rFonts w:hint="eastAsia" w:ascii="宋体" w:hAnsi="宋体"/>
                <w:b/>
                <w:sz w:val="24"/>
                <w:szCs w:val="24"/>
              </w:rPr>
              <w:t>得2分</w:t>
            </w:r>
            <w:r>
              <w:rPr>
                <w:rFonts w:hint="eastAsia" w:ascii="宋体" w:hAnsi="宋体"/>
                <w:sz w:val="24"/>
                <w:szCs w:val="24"/>
              </w:rPr>
              <w:t>，其他报价得分＝基准价÷其他投标报价×2，即（1+最低投标浮动率）÷（1+其他投标浮动率）×2（四舍五入后保留小数点后两位）。</w:t>
            </w:r>
          </w:p>
        </w:tc>
      </w:tr>
      <w:tr>
        <w:tblPrEx>
          <w:tblCellMar>
            <w:top w:w="0" w:type="dxa"/>
            <w:left w:w="108" w:type="dxa"/>
            <w:bottom w:w="0" w:type="dxa"/>
            <w:right w:w="108" w:type="dxa"/>
          </w:tblCellMar>
        </w:tblPrEx>
        <w:trPr>
          <w:trHeight w:val="1421"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（35分）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本项最多得15分</w:t>
            </w:r>
            <w:r>
              <w:rPr>
                <w:rFonts w:hint="eastAsia" w:ascii="宋体" w:hAnsi="宋体"/>
                <w:sz w:val="24"/>
                <w:szCs w:val="24"/>
              </w:rPr>
              <w:t>，同一单位不同年度不重复计分。提供加盖投标人公章的合同复印件、服务单位盖章的意见反馈证明（格式自拟），缺一项不得分。</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1022"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（35分）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cs="楷体"/>
                <w:sz w:val="24"/>
                <w:szCs w:val="24"/>
              </w:rPr>
            </w:pPr>
            <w:r>
              <w:rPr>
                <w:rFonts w:hint="eastAsia" w:ascii="宋体" w:hAnsi="宋体" w:cs="楷体"/>
                <w:sz w:val="24"/>
                <w:szCs w:val="24"/>
              </w:rPr>
              <w:t>投标人有固定送货服务人员，每有1人得1分，</w:t>
            </w:r>
            <w:r>
              <w:rPr>
                <w:rFonts w:hint="eastAsia" w:ascii="宋体" w:hAnsi="宋体" w:cs="楷体"/>
                <w:b/>
                <w:sz w:val="24"/>
                <w:szCs w:val="24"/>
              </w:rPr>
              <w:t>本项最多得5分</w:t>
            </w:r>
            <w:r>
              <w:rPr>
                <w:rFonts w:hint="eastAsia" w:ascii="宋体" w:hAnsi="宋体" w:cs="楷体"/>
                <w:sz w:val="24"/>
                <w:szCs w:val="24"/>
              </w:rPr>
              <w:t>。提供相关人员身份证、有效期内健康证，复印件加盖投标人公章。</w:t>
            </w:r>
          </w:p>
        </w:tc>
      </w:tr>
      <w:tr>
        <w:tblPrEx>
          <w:tblCellMar>
            <w:top w:w="0" w:type="dxa"/>
            <w:left w:w="108" w:type="dxa"/>
            <w:bottom w:w="0" w:type="dxa"/>
            <w:right w:w="108" w:type="dxa"/>
          </w:tblCellMar>
        </w:tblPrEx>
        <w:trPr>
          <w:trHeight w:val="2115"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投标人需有固定保鲜库用于蔬菜分装储存，须提供保鲜库与投标单位之间关系的产权证明，复印件加盖公章或提供投标单位租赁保鲜库合同复印件并加盖公章；投标人需提供保鲜库全景及内景照片。</w:t>
            </w:r>
          </w:p>
          <w:p>
            <w:pPr>
              <w:ind w:firstLine="480" w:firstLineChars="200"/>
              <w:rPr>
                <w:rFonts w:ascii="宋体" w:hAnsi="宋体"/>
                <w:sz w:val="24"/>
                <w:szCs w:val="24"/>
              </w:rPr>
            </w:pPr>
            <w:r>
              <w:rPr>
                <w:rFonts w:hint="eastAsia" w:ascii="宋体" w:hAnsi="宋体"/>
                <w:sz w:val="24"/>
                <w:szCs w:val="24"/>
              </w:rPr>
              <w:t>保鲜库≥50平方以上得10分，保鲜库≥20平方以上得5分，小于20平方不得分。未按以上要求提供相关材料或扫描不清晰导致无法识别的不计得分。</w:t>
            </w:r>
            <w:r>
              <w:rPr>
                <w:rFonts w:hint="eastAsia" w:ascii="宋体" w:hAnsi="宋体"/>
                <w:b/>
                <w:sz w:val="24"/>
                <w:szCs w:val="24"/>
              </w:rPr>
              <w:t>本项最多得10分</w:t>
            </w:r>
            <w:r>
              <w:rPr>
                <w:rFonts w:hint="eastAsia" w:ascii="宋体" w:hAnsi="宋体"/>
                <w:sz w:val="24"/>
                <w:szCs w:val="24"/>
              </w:rPr>
              <w:t>。</w:t>
            </w:r>
          </w:p>
        </w:tc>
      </w:tr>
      <w:tr>
        <w:tblPrEx>
          <w:tblCellMar>
            <w:top w:w="0" w:type="dxa"/>
            <w:left w:w="108" w:type="dxa"/>
            <w:bottom w:w="0" w:type="dxa"/>
            <w:right w:w="108" w:type="dxa"/>
          </w:tblCellMar>
        </w:tblPrEx>
        <w:trPr>
          <w:trHeight w:val="2116"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投标人有蔬菜配送车辆，每有一辆得2.5分，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81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（35分）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满足以上三项要求得15分，满足以上两项要求得10分，满足一项得5分，其它情况不得分。格式自拟，加盖投标人公章。</w:t>
            </w:r>
          </w:p>
        </w:tc>
      </w:tr>
      <w:tr>
        <w:tblPrEx>
          <w:tblCellMar>
            <w:top w:w="0" w:type="dxa"/>
            <w:left w:w="108" w:type="dxa"/>
            <w:bottom w:w="0" w:type="dxa"/>
            <w:right w:w="108" w:type="dxa"/>
          </w:tblCellMar>
        </w:tblPrEx>
        <w:trPr>
          <w:trHeight w:val="3547"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投标人提供项目重点难点分析（包括食材采购、储存、分拣、分装和运输过程中保持新鲜无损伤；配送时间的把控等）的应对措施、合理化建议。</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满足以上三项要求得10分，满足以上两项要求得7分，满足一项得分3分，其它情况不得分。格式自拟，加盖投标人公章。</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rPr>
          <w:trHeight w:val="3103"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（35分）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三、应急处理工作方案、预案</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 xml:space="preserve">投标人提供完备的物流配送、食品安全等方面的应急处理工作方案、预案。 </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（1）物流配送应急处理的工作方案详细、科学、合理；</w:t>
            </w:r>
          </w:p>
          <w:p>
            <w:pPr>
              <w:ind w:firstLine="480" w:firstLineChars="200"/>
              <w:rPr>
                <w:rFonts w:ascii="宋体" w:hAnsi="宋体"/>
                <w:sz w:val="24"/>
                <w:szCs w:val="24"/>
              </w:rPr>
            </w:pPr>
            <w:r>
              <w:rPr>
                <w:rFonts w:hint="eastAsia" w:ascii="宋体" w:hAnsi="宋体"/>
                <w:sz w:val="24"/>
                <w:szCs w:val="24"/>
              </w:rPr>
              <w:t>（2）食品安全应急处理的工作方案详细、科学、合理；</w:t>
            </w:r>
          </w:p>
          <w:p>
            <w:pPr>
              <w:ind w:firstLine="480" w:firstLineChars="200"/>
              <w:rPr>
                <w:rFonts w:ascii="宋体" w:hAnsi="宋体"/>
                <w:b/>
                <w:sz w:val="24"/>
                <w:szCs w:val="24"/>
              </w:rPr>
            </w:pPr>
            <w:r>
              <w:rPr>
                <w:rFonts w:hint="eastAsia" w:ascii="宋体" w:hAnsi="宋体"/>
                <w:sz w:val="24"/>
                <w:szCs w:val="24"/>
              </w:rPr>
              <w:t>满足以上两项要求得5分，满足以上一项要求得3分，其它情况不得分。格式自拟，加盖投标人公章。</w:t>
            </w:r>
          </w:p>
        </w:tc>
      </w:tr>
      <w:tr>
        <w:tblPrEx>
          <w:tblCellMar>
            <w:top w:w="0" w:type="dxa"/>
            <w:left w:w="108" w:type="dxa"/>
            <w:bottom w:w="0" w:type="dxa"/>
            <w:right w:w="108" w:type="dxa"/>
          </w:tblCellMar>
        </w:tblPrEx>
        <w:trPr>
          <w:trHeight w:val="3388"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满足以上三项要求得5分，满足以上两项要求得3分，满足一项得1分，其它情况不得分。格式自拟，加盖投标人公章。</w:t>
            </w:r>
          </w:p>
        </w:tc>
      </w:tr>
    </w:tbl>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九、可行性实施方案、项目重点难点分析、应急处理工作方案和预案、违约承诺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rPr>
              <w:t>有效期内的运货车辆行驶证复印件和保险凭单（加盖单位公章）</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iCs/>
                <w:sz w:val="24"/>
                <w:szCs w:val="24"/>
              </w:rPr>
              <w:t>未被“信用中国”网站</w:t>
            </w:r>
          </w:p>
          <w:p>
            <w:pPr>
              <w:snapToGrid w:val="0"/>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4111"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41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成交供应商所提供的食品、产品必须安全无害，符合国家规定标准。</w:t>
            </w:r>
          </w:p>
        </w:tc>
        <w:tc>
          <w:tcPr>
            <w:tcW w:w="1843" w:type="dxa"/>
            <w:vAlign w:val="center"/>
          </w:tcPr>
          <w:p>
            <w:pPr>
              <w:jc w:val="center"/>
              <w:rPr>
                <w:rFonts w:ascii="宋体" w:hAnsi="宋体"/>
                <w:b/>
                <w:sz w:val="24"/>
                <w:szCs w:val="21"/>
              </w:rPr>
            </w:pPr>
          </w:p>
        </w:tc>
        <w:tc>
          <w:tcPr>
            <w:tcW w:w="2787" w:type="dxa"/>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4111" w:type="dxa"/>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成交供应商应按采购人计划要求，按本文件规定的品种、规格、质量提供成品食品原料。包装类食品产品送达日剩余保质期天数须大于产品总保质期2/3的天数，否则采购人有权拒绝收货。</w:t>
            </w: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4111" w:type="dxa"/>
          </w:tcPr>
          <w:p>
            <w:pPr>
              <w:rPr>
                <w:rFonts w:ascii="宋体" w:hAnsi="宋体"/>
                <w:iCs/>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4111" w:type="dxa"/>
          </w:tcPr>
          <w:p>
            <w:pPr>
              <w:rPr>
                <w:rFonts w:ascii="宋体" w:hAnsi="宋体"/>
                <w:iCs/>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4111"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有效期内运货车辆行驶证复印件和保险凭单（加盖单位公章）。</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2219"/>
      <w:bookmarkStart w:id="36" w:name="_Toc14748198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1990"/>
      <w:bookmarkStart w:id="38" w:name="_Toc14748222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2221"/>
      <w:bookmarkStart w:id="40" w:name="_Toc14748199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vMerge w:val="restart"/>
            <w:tcBorders>
              <w:right w:val="single" w:color="auto" w:sz="4" w:space="0"/>
            </w:tcBorders>
            <w:vAlign w:val="center"/>
          </w:tcPr>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项目投标报价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rPr>
                <w:rFonts w:ascii="宋体" w:hAnsi="Arial" w:cs="宋体"/>
                <w:sz w:val="24"/>
                <w:lang w:val="zh-CN"/>
              </w:rPr>
            </w:pPr>
            <w:r>
              <w:rPr>
                <w:rFonts w:hint="eastAsia" w:ascii="宋体" w:hAnsi="Arial" w:cs="宋体"/>
                <w:sz w:val="24"/>
                <w:lang w:val="zh-CN"/>
              </w:rPr>
              <w:t>1、蔬菜</w:t>
            </w:r>
          </w:p>
          <w:p>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浮动率大写：</w:t>
            </w:r>
            <w:r>
              <w:rPr>
                <w:rFonts w:hint="eastAsia" w:ascii="宋体" w:hAnsi="Arial" w:cs="宋体"/>
                <w:sz w:val="24"/>
                <w:u w:val="single"/>
                <w:lang w:val="zh-CN"/>
              </w:rPr>
              <w:t xml:space="preserve">                  </w:t>
            </w:r>
          </w:p>
          <w:p>
            <w:pPr>
              <w:autoSpaceDE w:val="0"/>
              <w:autoSpaceDN w:val="0"/>
              <w:adjustRightInd w:val="0"/>
              <w:spacing w:line="480" w:lineRule="auto"/>
              <w:ind w:firstLine="720" w:firstLineChars="300"/>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 </w:t>
            </w:r>
            <w:r>
              <w:rPr>
                <w:rFonts w:hint="eastAsia" w:ascii="宋体" w:hAnsi="Arial" w:cs="宋体"/>
                <w:sz w:val="24"/>
                <w:lang w:val="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vMerge w:val="continue"/>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rPr>
                <w:rFonts w:ascii="宋体" w:hAnsi="Arial" w:cs="宋体"/>
                <w:sz w:val="24"/>
                <w:lang w:val="zh-CN"/>
              </w:rPr>
            </w:pPr>
            <w:r>
              <w:rPr>
                <w:rFonts w:hint="eastAsia" w:ascii="宋体" w:hAnsi="Arial" w:cs="宋体"/>
                <w:sz w:val="24"/>
                <w:lang w:val="zh-CN"/>
              </w:rPr>
              <w:t>2、水产品</w:t>
            </w:r>
          </w:p>
          <w:p>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浮动率大写：</w:t>
            </w:r>
            <w:r>
              <w:rPr>
                <w:rFonts w:hint="eastAsia" w:ascii="宋体" w:hAnsi="Arial" w:cs="宋体"/>
                <w:sz w:val="24"/>
                <w:u w:val="single"/>
                <w:lang w:val="zh-CN"/>
              </w:rPr>
              <w:t xml:space="preserve">                 </w:t>
            </w:r>
          </w:p>
          <w:p>
            <w:pPr>
              <w:autoSpaceDE w:val="0"/>
              <w:autoSpaceDN w:val="0"/>
              <w:adjustRightInd w:val="0"/>
              <w:spacing w:line="360" w:lineRule="auto"/>
              <w:ind w:firstLine="720" w:firstLineChars="300"/>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 </w:t>
            </w:r>
            <w:r>
              <w:rPr>
                <w:rFonts w:hint="eastAsia" w:ascii="宋体" w:hAnsi="Arial" w:cs="宋体"/>
                <w:sz w:val="24"/>
                <w:lang w:val="zh-CN"/>
              </w:rPr>
              <w:t xml:space="preserve"> </w:t>
            </w: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2225"/>
        <w:gridCol w:w="2703"/>
        <w:gridCol w:w="1975"/>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35" w:type="dxa"/>
            <w:vAlign w:val="center"/>
          </w:tcPr>
          <w:p>
            <w:pPr>
              <w:widowControl/>
              <w:snapToGrid w:val="0"/>
              <w:jc w:val="center"/>
              <w:rPr>
                <w:rFonts w:ascii="宋体" w:hAnsi="宋体" w:cs="宋体"/>
                <w:bCs/>
                <w:kern w:val="0"/>
                <w:sz w:val="24"/>
              </w:rPr>
            </w:pPr>
            <w:r>
              <w:rPr>
                <w:rFonts w:hint="eastAsia" w:ascii="宋体" w:hAnsi="宋体" w:cs="宋体"/>
                <w:bCs/>
                <w:kern w:val="0"/>
                <w:sz w:val="24"/>
              </w:rPr>
              <w:t>序号</w:t>
            </w:r>
          </w:p>
        </w:tc>
        <w:tc>
          <w:tcPr>
            <w:tcW w:w="2225" w:type="dxa"/>
            <w:vAlign w:val="center"/>
          </w:tcPr>
          <w:p>
            <w:pPr>
              <w:widowControl/>
              <w:snapToGrid w:val="0"/>
              <w:jc w:val="center"/>
              <w:rPr>
                <w:rFonts w:ascii="宋体" w:hAnsi="宋体" w:cs="宋体"/>
                <w:bCs/>
                <w:kern w:val="0"/>
                <w:sz w:val="24"/>
              </w:rPr>
            </w:pPr>
            <w:r>
              <w:rPr>
                <w:rFonts w:hint="eastAsia" w:ascii="宋体" w:hAnsi="宋体" w:cs="宋体"/>
                <w:bCs/>
                <w:kern w:val="0"/>
                <w:sz w:val="24"/>
              </w:rPr>
              <w:t>货物名称</w:t>
            </w:r>
          </w:p>
        </w:tc>
        <w:tc>
          <w:tcPr>
            <w:tcW w:w="2703" w:type="dxa"/>
            <w:vAlign w:val="center"/>
          </w:tcPr>
          <w:p>
            <w:pPr>
              <w:widowControl/>
              <w:snapToGrid w:val="0"/>
              <w:jc w:val="center"/>
              <w:rPr>
                <w:rFonts w:ascii="宋体" w:hAnsi="宋体" w:cs="宋体"/>
                <w:bCs/>
                <w:kern w:val="0"/>
                <w:sz w:val="24"/>
              </w:rPr>
            </w:pPr>
            <w:r>
              <w:rPr>
                <w:rFonts w:hint="eastAsia" w:ascii="宋体" w:hAnsi="宋体" w:cs="宋体"/>
                <w:bCs/>
                <w:kern w:val="0"/>
                <w:sz w:val="24"/>
              </w:rPr>
              <w:t>规格、型号</w:t>
            </w:r>
          </w:p>
        </w:tc>
        <w:tc>
          <w:tcPr>
            <w:tcW w:w="1975" w:type="dxa"/>
            <w:vAlign w:val="center"/>
          </w:tcPr>
          <w:p>
            <w:pPr>
              <w:widowControl/>
              <w:snapToGrid w:val="0"/>
              <w:jc w:val="center"/>
              <w:rPr>
                <w:rFonts w:ascii="宋体" w:hAnsi="宋体" w:cs="宋体"/>
                <w:bCs/>
                <w:kern w:val="0"/>
                <w:sz w:val="24"/>
              </w:rPr>
            </w:pPr>
            <w:r>
              <w:rPr>
                <w:rFonts w:hint="eastAsia" w:ascii="宋体" w:hAnsi="宋体" w:cs="宋体"/>
                <w:bCs/>
                <w:kern w:val="0"/>
                <w:sz w:val="24"/>
              </w:rPr>
              <w:t>浮动率</w:t>
            </w:r>
            <w:r>
              <w:rPr>
                <w:rFonts w:hint="eastAsia" w:ascii="宋体" w:hAnsi="Arial" w:cs="宋体"/>
                <w:sz w:val="24"/>
                <w:szCs w:val="24"/>
                <w:lang w:val="zh-CN"/>
              </w:rPr>
              <w:t>%</w:t>
            </w:r>
          </w:p>
        </w:tc>
        <w:tc>
          <w:tcPr>
            <w:tcW w:w="1327" w:type="dxa"/>
            <w:vAlign w:val="center"/>
          </w:tcPr>
          <w:p>
            <w:pPr>
              <w:widowControl/>
              <w:snapToGrid w:val="0"/>
              <w:jc w:val="center"/>
              <w:rPr>
                <w:rFonts w:ascii="宋体" w:hAnsi="宋体" w:cs="宋体"/>
                <w:bCs/>
                <w:kern w:val="0"/>
                <w:sz w:val="24"/>
              </w:rPr>
            </w:pPr>
            <w:r>
              <w:rPr>
                <w:rFonts w:hint="eastAsia" w:ascii="宋体" w:hAnsi="宋体" w:cs="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35" w:type="dxa"/>
            <w:vAlign w:val="center"/>
          </w:tcPr>
          <w:p>
            <w:pPr>
              <w:widowControl/>
              <w:snapToGrid w:val="0"/>
              <w:jc w:val="center"/>
              <w:rPr>
                <w:rFonts w:ascii="宋体" w:hAnsi="宋体" w:cs="宋体"/>
                <w:bCs/>
                <w:kern w:val="0"/>
                <w:sz w:val="24"/>
              </w:rPr>
            </w:pPr>
            <w:r>
              <w:rPr>
                <w:rFonts w:hint="eastAsia" w:ascii="宋体" w:hAnsi="宋体" w:cs="宋体"/>
                <w:bCs/>
                <w:kern w:val="0"/>
                <w:sz w:val="24"/>
              </w:rPr>
              <w:t>1</w:t>
            </w:r>
          </w:p>
        </w:tc>
        <w:tc>
          <w:tcPr>
            <w:tcW w:w="2225" w:type="dxa"/>
            <w:vAlign w:val="center"/>
          </w:tcPr>
          <w:p>
            <w:pPr>
              <w:widowControl/>
              <w:snapToGrid w:val="0"/>
              <w:jc w:val="center"/>
              <w:rPr>
                <w:rFonts w:ascii="宋体" w:hAnsi="宋体" w:cs="宋体"/>
                <w:bCs/>
                <w:kern w:val="0"/>
                <w:sz w:val="24"/>
              </w:rPr>
            </w:pPr>
            <w:r>
              <w:rPr>
                <w:rFonts w:hint="eastAsia" w:ascii="宋体" w:hAnsi="宋体" w:cs="宋体"/>
                <w:bCs/>
                <w:kern w:val="0"/>
                <w:sz w:val="24"/>
              </w:rPr>
              <w:t>蔬菜</w:t>
            </w:r>
          </w:p>
        </w:tc>
        <w:tc>
          <w:tcPr>
            <w:tcW w:w="2703" w:type="dxa"/>
            <w:vAlign w:val="center"/>
          </w:tcPr>
          <w:p>
            <w:pPr>
              <w:widowControl/>
              <w:snapToGrid w:val="0"/>
              <w:jc w:val="center"/>
              <w:rPr>
                <w:rFonts w:ascii="宋体" w:hAnsi="宋体" w:cs="宋体"/>
                <w:bCs/>
                <w:kern w:val="0"/>
                <w:sz w:val="24"/>
              </w:rPr>
            </w:pPr>
            <w:r>
              <w:rPr>
                <w:rFonts w:ascii="宋体" w:hAnsi="宋体" w:cs="宋体"/>
                <w:bCs/>
                <w:kern w:val="0"/>
                <w:sz w:val="24"/>
              </w:rPr>
              <w:t>详见对应清单表</w:t>
            </w:r>
          </w:p>
        </w:tc>
        <w:tc>
          <w:tcPr>
            <w:tcW w:w="1975" w:type="dxa"/>
            <w:vAlign w:val="center"/>
          </w:tcPr>
          <w:p>
            <w:pPr>
              <w:widowControl/>
              <w:snapToGrid w:val="0"/>
              <w:jc w:val="center"/>
              <w:rPr>
                <w:rFonts w:ascii="宋体" w:hAnsi="宋体" w:cs="宋体"/>
                <w:bCs/>
                <w:kern w:val="0"/>
                <w:sz w:val="24"/>
              </w:rPr>
            </w:pPr>
          </w:p>
        </w:tc>
        <w:tc>
          <w:tcPr>
            <w:tcW w:w="1327" w:type="dxa"/>
            <w:vAlign w:val="center"/>
          </w:tcPr>
          <w:p>
            <w:pPr>
              <w:widowControl/>
              <w:snapToGrid w:val="0"/>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235" w:type="dxa"/>
            <w:vAlign w:val="center"/>
          </w:tcPr>
          <w:p>
            <w:pPr>
              <w:widowControl/>
              <w:snapToGrid w:val="0"/>
              <w:jc w:val="center"/>
              <w:rPr>
                <w:rFonts w:ascii="宋体" w:hAnsi="宋体" w:cs="宋体"/>
                <w:bCs/>
                <w:kern w:val="0"/>
                <w:sz w:val="24"/>
              </w:rPr>
            </w:pPr>
            <w:r>
              <w:rPr>
                <w:rFonts w:hint="eastAsia" w:ascii="宋体" w:hAnsi="宋体" w:cs="宋体"/>
                <w:bCs/>
                <w:kern w:val="0"/>
                <w:sz w:val="24"/>
              </w:rPr>
              <w:t>2</w:t>
            </w:r>
          </w:p>
        </w:tc>
        <w:tc>
          <w:tcPr>
            <w:tcW w:w="2225" w:type="dxa"/>
            <w:vAlign w:val="center"/>
          </w:tcPr>
          <w:p>
            <w:pPr>
              <w:widowControl/>
              <w:snapToGrid w:val="0"/>
              <w:jc w:val="center"/>
              <w:rPr>
                <w:rFonts w:ascii="宋体" w:hAnsi="宋体" w:cs="宋体"/>
                <w:bCs/>
                <w:kern w:val="0"/>
                <w:sz w:val="24"/>
              </w:rPr>
            </w:pPr>
            <w:r>
              <w:rPr>
                <w:rFonts w:hint="eastAsia" w:ascii="宋体" w:hAnsi="宋体" w:cs="宋体"/>
                <w:bCs/>
                <w:kern w:val="0"/>
                <w:sz w:val="24"/>
              </w:rPr>
              <w:t>水产品</w:t>
            </w:r>
          </w:p>
        </w:tc>
        <w:tc>
          <w:tcPr>
            <w:tcW w:w="2703" w:type="dxa"/>
            <w:vAlign w:val="center"/>
          </w:tcPr>
          <w:p>
            <w:pPr>
              <w:widowControl/>
              <w:snapToGrid w:val="0"/>
              <w:jc w:val="center"/>
              <w:rPr>
                <w:rFonts w:ascii="宋体" w:hAnsi="宋体" w:cs="宋体"/>
                <w:bCs/>
                <w:kern w:val="0"/>
                <w:sz w:val="24"/>
              </w:rPr>
            </w:pPr>
            <w:r>
              <w:rPr>
                <w:rFonts w:ascii="宋体" w:hAnsi="宋体" w:cs="宋体"/>
                <w:bCs/>
                <w:kern w:val="0"/>
                <w:sz w:val="24"/>
              </w:rPr>
              <w:t>详见对应清单表</w:t>
            </w:r>
          </w:p>
        </w:tc>
        <w:tc>
          <w:tcPr>
            <w:tcW w:w="1975" w:type="dxa"/>
            <w:vAlign w:val="center"/>
          </w:tcPr>
          <w:p>
            <w:pPr>
              <w:widowControl/>
              <w:snapToGrid w:val="0"/>
              <w:jc w:val="center"/>
              <w:rPr>
                <w:rFonts w:ascii="宋体" w:hAnsi="宋体" w:cs="宋体"/>
                <w:bCs/>
                <w:kern w:val="0"/>
                <w:sz w:val="24"/>
              </w:rPr>
            </w:pPr>
          </w:p>
        </w:tc>
        <w:tc>
          <w:tcPr>
            <w:tcW w:w="1327" w:type="dxa"/>
            <w:vAlign w:val="center"/>
          </w:tcPr>
          <w:p>
            <w:pPr>
              <w:widowControl/>
              <w:snapToGrid w:val="0"/>
              <w:jc w:val="center"/>
              <w:rPr>
                <w:rFonts w:ascii="宋体" w:hAnsi="宋体" w:cs="宋体"/>
                <w:bCs/>
                <w:kern w:val="0"/>
                <w:sz w:val="24"/>
              </w:rPr>
            </w:pPr>
          </w:p>
        </w:tc>
      </w:tr>
    </w:tbl>
    <w:p>
      <w:pPr>
        <w:autoSpaceDE w:val="0"/>
        <w:autoSpaceDN w:val="0"/>
        <w:adjustRightInd w:val="0"/>
        <w:spacing w:line="440" w:lineRule="exact"/>
        <w:ind w:firstLine="480"/>
        <w:rPr>
          <w:rFonts w:ascii="宋体" w:hAnsi="Arial" w:cs="宋体"/>
          <w:sz w:val="24"/>
          <w:szCs w:val="24"/>
        </w:rPr>
      </w:pPr>
      <w:r>
        <w:rPr>
          <w:rFonts w:hint="eastAsia" w:ascii="宋体" w:hAnsi="Arial" w:cs="宋体"/>
          <w:sz w:val="24"/>
          <w:szCs w:val="24"/>
        </w:rPr>
        <w:t>注：1</w:t>
      </w:r>
      <w:r>
        <w:rPr>
          <w:rFonts w:hint="eastAsia" w:ascii="宋体" w:hAnsi="Arial" w:cs="宋体"/>
          <w:sz w:val="24"/>
          <w:szCs w:val="24"/>
          <w:lang w:val="zh-CN"/>
        </w:rPr>
        <w:t>、以江苏凌家塘市场发展有限公司网站公布的产品最底价为依据</w:t>
      </w:r>
      <w:r>
        <w:rPr>
          <w:rFonts w:hint="eastAsia" w:ascii="宋体" w:hAnsi="Arial" w:cs="宋体"/>
          <w:sz w:val="24"/>
          <w:szCs w:val="24"/>
        </w:rPr>
        <w:t>，</w:t>
      </w:r>
      <w:r>
        <w:rPr>
          <w:rFonts w:hint="eastAsia" w:ascii="宋体" w:hAnsi="Arial" w:cs="宋体"/>
          <w:sz w:val="24"/>
          <w:szCs w:val="24"/>
          <w:lang w:val="zh-CN"/>
        </w:rPr>
        <w:t>在最底价基础上</w:t>
      </w:r>
      <w:r>
        <w:rPr>
          <w:rFonts w:hint="eastAsia" w:ascii="宋体" w:hAnsi="Arial" w:cs="宋体"/>
          <w:sz w:val="24"/>
          <w:szCs w:val="24"/>
        </w:rPr>
        <w:t>（</w:t>
      </w:r>
      <w:r>
        <w:rPr>
          <w:rFonts w:hint="eastAsia" w:ascii="宋体" w:hAnsi="Arial" w:cs="宋体"/>
          <w:sz w:val="24"/>
          <w:szCs w:val="24"/>
          <w:lang w:val="zh-CN"/>
        </w:rPr>
        <w:t>报浮动率</w:t>
      </w:r>
      <w:r>
        <w:rPr>
          <w:rFonts w:hint="eastAsia" w:ascii="宋体" w:hAnsi="Arial" w:cs="宋体"/>
          <w:sz w:val="24"/>
          <w:szCs w:val="24"/>
        </w:rPr>
        <w:t>%）</w:t>
      </w:r>
      <w:r>
        <w:rPr>
          <w:rFonts w:hint="eastAsia" w:ascii="宋体" w:hAnsi="Arial" w:cs="宋体"/>
          <w:sz w:val="24"/>
          <w:szCs w:val="24"/>
          <w:lang w:val="zh-CN"/>
        </w:rPr>
        <w:t>进行报价。</w:t>
      </w:r>
    </w:p>
    <w:p>
      <w:pPr>
        <w:spacing w:line="480" w:lineRule="exact"/>
        <w:ind w:firstLine="480" w:firstLineChars="200"/>
        <w:jc w:val="left"/>
        <w:rPr>
          <w:rFonts w:ascii="宋体" w:hAnsi="宋体" w:cs="宋体"/>
          <w:kern w:val="0"/>
          <w:sz w:val="24"/>
          <w:szCs w:val="24"/>
        </w:rPr>
      </w:pPr>
      <w:r>
        <w:rPr>
          <w:rFonts w:hint="eastAsia" w:ascii="宋体" w:hAnsi="Arial" w:cs="宋体"/>
          <w:sz w:val="24"/>
          <w:szCs w:val="24"/>
          <w:lang w:val="zh-CN"/>
        </w:rPr>
        <w:t>2、蔬菜以“蔬菜大棚”和“地产”类蔬菜最底价为依据，在最底价基础上（报浮动率%）进行报价，浮动率上浮不得超过95%，否则为无效报价。水产品以“水产”最底价为依据，在最底价基础上（报浮动率%）进行报价，浮动率上浮不得超过50%，否则为无效报价。</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autoSpaceDE w:val="0"/>
        <w:autoSpaceDN w:val="0"/>
        <w:adjustRightInd w:val="0"/>
        <w:spacing w:line="600" w:lineRule="exact"/>
        <w:rPr>
          <w:rFonts w:ascii="宋体" w:hAnsi="Arial" w:cs="宋体"/>
          <w:sz w:val="24"/>
          <w:szCs w:val="24"/>
          <w:lang w:val="zh-CN"/>
        </w:rPr>
      </w:pPr>
      <w:r>
        <w:rPr>
          <w:rFonts w:ascii="宋体" w:hAnsi="Arial" w:cs="宋体"/>
          <w:sz w:val="24"/>
          <w:szCs w:val="24"/>
          <w:lang w:val="zh-CN"/>
        </w:rPr>
        <w:br w:type="page"/>
      </w:r>
    </w:p>
    <w:p>
      <w:pPr>
        <w:spacing w:before="100" w:beforeAutospacing="1" w:after="100" w:afterAutospacing="1"/>
        <w:jc w:val="center"/>
        <w:rPr>
          <w:rFonts w:ascii="宋体" w:hAnsi="宋体" w:cs="黑体"/>
          <w:b/>
          <w:sz w:val="32"/>
          <w:szCs w:val="32"/>
          <w:lang w:val="zh-CN"/>
        </w:rPr>
      </w:pPr>
      <w:bookmarkStart w:id="41" w:name="_GoBack"/>
      <w:bookmarkEnd w:id="41"/>
      <w:r>
        <w:rPr>
          <w:rFonts w:hint="eastAsia" w:ascii="宋体" w:hAnsi="宋体" w:cs="黑体"/>
          <w:b/>
          <w:sz w:val="32"/>
          <w:szCs w:val="32"/>
          <w:lang w:val="zh-CN"/>
        </w:rPr>
        <w:t>凌家塘水产品对应清单表</w:t>
      </w:r>
    </w:p>
    <w:tbl>
      <w:tblPr>
        <w:tblStyle w:val="15"/>
        <w:tblW w:w="8891" w:type="dxa"/>
        <w:jc w:val="center"/>
        <w:tblLayout w:type="fixed"/>
        <w:tblCellMar>
          <w:top w:w="0" w:type="dxa"/>
          <w:left w:w="108" w:type="dxa"/>
          <w:bottom w:w="0" w:type="dxa"/>
          <w:right w:w="108" w:type="dxa"/>
        </w:tblCellMar>
      </w:tblPr>
      <w:tblGrid>
        <w:gridCol w:w="1088"/>
        <w:gridCol w:w="3135"/>
        <w:gridCol w:w="2503"/>
        <w:gridCol w:w="2165"/>
      </w:tblGrid>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序号</w:t>
            </w:r>
          </w:p>
        </w:tc>
        <w:tc>
          <w:tcPr>
            <w:tcW w:w="31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凌家塘水产品名称</w:t>
            </w:r>
          </w:p>
        </w:tc>
        <w:tc>
          <w:tcPr>
            <w:tcW w:w="250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规格</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俗称</w:t>
            </w:r>
          </w:p>
        </w:tc>
      </w:tr>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1</w:t>
            </w:r>
          </w:p>
        </w:tc>
        <w:tc>
          <w:tcPr>
            <w:tcW w:w="3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kern w:val="0"/>
                <w:szCs w:val="21"/>
                <w:lang w:bidi="ar"/>
              </w:rPr>
            </w:pPr>
            <w:r>
              <w:rPr>
                <w:rFonts w:hint="eastAsia" w:ascii="宋体" w:hAnsi="宋体" w:cs="楷体"/>
                <w:kern w:val="0"/>
                <w:szCs w:val="21"/>
                <w:lang w:bidi="ar"/>
              </w:rPr>
              <w:t>草鱼</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3斤以上</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楷体"/>
                <w:szCs w:val="21"/>
              </w:rPr>
            </w:pPr>
            <w:r>
              <w:rPr>
                <w:rFonts w:hint="eastAsia" w:ascii="宋体" w:hAnsi="宋体" w:cs="楷体"/>
                <w:kern w:val="0"/>
                <w:szCs w:val="21"/>
                <w:lang w:bidi="ar"/>
              </w:rPr>
              <w:t>青鱼</w:t>
            </w:r>
          </w:p>
        </w:tc>
      </w:tr>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2</w:t>
            </w:r>
          </w:p>
        </w:tc>
        <w:tc>
          <w:tcPr>
            <w:tcW w:w="3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kern w:val="0"/>
                <w:szCs w:val="21"/>
                <w:lang w:bidi="ar"/>
              </w:rPr>
            </w:pPr>
            <w:r>
              <w:rPr>
                <w:rFonts w:hint="eastAsia" w:ascii="宋体" w:hAnsi="宋体" w:cs="楷体"/>
                <w:kern w:val="0"/>
                <w:szCs w:val="21"/>
                <w:lang w:bidi="ar"/>
              </w:rPr>
              <w:t>鳊鱼</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8两以上</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楷体"/>
                <w:szCs w:val="21"/>
              </w:rPr>
            </w:pPr>
          </w:p>
        </w:tc>
      </w:tr>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3</w:t>
            </w:r>
          </w:p>
        </w:tc>
        <w:tc>
          <w:tcPr>
            <w:tcW w:w="3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kern w:val="0"/>
                <w:szCs w:val="21"/>
                <w:lang w:bidi="ar"/>
              </w:rPr>
            </w:pPr>
            <w:r>
              <w:rPr>
                <w:rFonts w:hint="eastAsia" w:ascii="宋体" w:hAnsi="宋体" w:cs="楷体"/>
                <w:kern w:val="0"/>
                <w:szCs w:val="21"/>
                <w:lang w:bidi="ar"/>
              </w:rPr>
              <w:t>鲢鱼（白）</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2斤以上</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楷体"/>
                <w:szCs w:val="21"/>
              </w:rPr>
            </w:pPr>
          </w:p>
        </w:tc>
      </w:tr>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4</w:t>
            </w:r>
          </w:p>
        </w:tc>
        <w:tc>
          <w:tcPr>
            <w:tcW w:w="3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灰鲢</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3斤以上</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花鲢</w:t>
            </w:r>
          </w:p>
        </w:tc>
      </w:tr>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5</w:t>
            </w:r>
          </w:p>
        </w:tc>
        <w:tc>
          <w:tcPr>
            <w:tcW w:w="3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鲫鱼</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3两-半斤</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楷体"/>
                <w:szCs w:val="21"/>
              </w:rPr>
            </w:pPr>
          </w:p>
        </w:tc>
      </w:tr>
      <w:tr>
        <w:tblPrEx>
          <w:tblCellMar>
            <w:top w:w="0" w:type="dxa"/>
            <w:left w:w="108" w:type="dxa"/>
            <w:bottom w:w="0" w:type="dxa"/>
            <w:right w:w="108" w:type="dxa"/>
          </w:tblCellMar>
        </w:tblPrEx>
        <w:trPr>
          <w:trHeight w:val="534" w:hRule="atLeast"/>
          <w:jc w:val="center"/>
        </w:trPr>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6</w:t>
            </w:r>
          </w:p>
        </w:tc>
        <w:tc>
          <w:tcPr>
            <w:tcW w:w="3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鲫鱼</w:t>
            </w:r>
          </w:p>
        </w:tc>
        <w:tc>
          <w:tcPr>
            <w:tcW w:w="2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楷体"/>
                <w:szCs w:val="21"/>
              </w:rPr>
            </w:pPr>
            <w:r>
              <w:rPr>
                <w:rFonts w:hint="eastAsia" w:ascii="宋体" w:hAnsi="宋体" w:cs="楷体"/>
                <w:kern w:val="0"/>
                <w:szCs w:val="21"/>
                <w:lang w:bidi="ar"/>
              </w:rPr>
              <w:t>半斤-8两</w:t>
            </w:r>
          </w:p>
        </w:tc>
        <w:tc>
          <w:tcPr>
            <w:tcW w:w="216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楷体"/>
                <w:szCs w:val="21"/>
              </w:rPr>
            </w:pPr>
          </w:p>
        </w:tc>
      </w:tr>
    </w:tbl>
    <w:p>
      <w:pPr>
        <w:autoSpaceDE w:val="0"/>
        <w:autoSpaceDN w:val="0"/>
        <w:adjustRightInd w:val="0"/>
        <w:spacing w:line="600" w:lineRule="exact"/>
        <w:rPr>
          <w:rFonts w:ascii="宋体" w:hAnsi="宋体" w:cs="楷体"/>
          <w:b/>
          <w:bCs/>
          <w:sz w:val="28"/>
          <w:szCs w:val="28"/>
        </w:rPr>
      </w:pPr>
      <w:r>
        <w:rPr>
          <w:rFonts w:ascii="宋体" w:hAnsi="宋体" w:cs="楷体"/>
          <w:b/>
          <w:bCs/>
          <w:sz w:val="28"/>
          <w:szCs w:val="28"/>
        </w:rPr>
        <w:br w:type="page"/>
      </w:r>
    </w:p>
    <w:p>
      <w:pPr>
        <w:spacing w:before="100" w:beforeAutospacing="1" w:after="100" w:afterAutospacing="1"/>
        <w:jc w:val="center"/>
        <w:rPr>
          <w:rFonts w:ascii="宋体" w:hAnsi="宋体" w:cs="黑体"/>
          <w:b/>
          <w:sz w:val="32"/>
          <w:szCs w:val="32"/>
          <w:lang w:val="zh-CN"/>
        </w:rPr>
      </w:pPr>
      <w:r>
        <w:rPr>
          <w:rFonts w:hint="eastAsia" w:ascii="宋体" w:hAnsi="宋体" w:cs="黑体"/>
          <w:b/>
          <w:sz w:val="32"/>
          <w:szCs w:val="32"/>
          <w:lang w:val="zh-CN"/>
        </w:rPr>
        <w:t>凌家塘蔬菜产品对应清单表</w:t>
      </w:r>
    </w:p>
    <w:tbl>
      <w:tblPr>
        <w:tblStyle w:val="15"/>
        <w:tblW w:w="9182" w:type="dxa"/>
        <w:jc w:val="center"/>
        <w:tblLayout w:type="fixed"/>
        <w:tblCellMar>
          <w:top w:w="0" w:type="dxa"/>
          <w:left w:w="108" w:type="dxa"/>
          <w:bottom w:w="0" w:type="dxa"/>
          <w:right w:w="108" w:type="dxa"/>
        </w:tblCellMar>
      </w:tblPr>
      <w:tblGrid>
        <w:gridCol w:w="751"/>
        <w:gridCol w:w="2308"/>
        <w:gridCol w:w="1531"/>
        <w:gridCol w:w="784"/>
        <w:gridCol w:w="2276"/>
        <w:gridCol w:w="1532"/>
      </w:tblGrid>
      <w:tr>
        <w:tblPrEx>
          <w:tblCellMar>
            <w:top w:w="0" w:type="dxa"/>
            <w:left w:w="108" w:type="dxa"/>
            <w:bottom w:w="0" w:type="dxa"/>
            <w:right w:w="108" w:type="dxa"/>
          </w:tblCellMar>
        </w:tblPrEx>
        <w:trPr>
          <w:trHeight w:val="897"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序号</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凌家塘蔬菜名称</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俗称</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序号</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凌家塘蔬菜名称</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szCs w:val="21"/>
              </w:rPr>
            </w:pPr>
            <w:r>
              <w:rPr>
                <w:rFonts w:hint="eastAsia" w:ascii="宋体" w:hAnsi="宋体" w:cs="楷体"/>
                <w:kern w:val="0"/>
                <w:szCs w:val="21"/>
                <w:lang w:bidi="ar"/>
              </w:rPr>
              <w:t>俗称</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胡萝卜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26</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大白菜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白萝卜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27</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圆包菜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长角</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28</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扁包菜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西红柿</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29</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紫甘蓝</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紫包菜</w:t>
            </w: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5</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圆茄子</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青茄子</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30</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6</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长茄子</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紫茄子</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31</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茼蒿</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7</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长南瓜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32</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空心菜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8</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日本南瓜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青南瓜</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33</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菠菜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9</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冬瓜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34</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花菜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10</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西葫芦</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金瓜</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35</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西兰花</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11</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山东黄瓜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36</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香菜</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12</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水果黄瓜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37</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药芹</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13</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青椒</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38</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莴笋</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14</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红椒</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39</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黄豆芽</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15</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尖椒</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杭椒</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40</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绿豆芽</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绿尖椒</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小米辣</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41</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莲藕</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17</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香葱</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小葱</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42</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土豆</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18</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胡葱</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43</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山药</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19</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生姜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44</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山芋</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20</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蒜米</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45</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毛芋头</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21</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韭菜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46</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白金针菇</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22</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大蒜</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47</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香菇</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23</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蒜苔</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48</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蘑菇</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r>
      <w:tr>
        <w:tblPrEx>
          <w:tblCellMar>
            <w:top w:w="0" w:type="dxa"/>
            <w:left w:w="108" w:type="dxa"/>
            <w:bottom w:w="0" w:type="dxa"/>
            <w:right w:w="108" w:type="dxa"/>
          </w:tblCellMar>
        </w:tblPrEx>
        <w:trPr>
          <w:trHeight w:val="418"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24</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鸡腿菇</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49</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海带丝</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r>
      <w:tr>
        <w:tblPrEx>
          <w:tblCellMar>
            <w:top w:w="0" w:type="dxa"/>
            <w:left w:w="108" w:type="dxa"/>
            <w:bottom w:w="0" w:type="dxa"/>
            <w:right w:w="108" w:type="dxa"/>
          </w:tblCellMar>
        </w:tblPrEx>
        <w:trPr>
          <w:trHeight w:val="470"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szCs w:val="21"/>
              </w:rPr>
            </w:pPr>
            <w:r>
              <w:rPr>
                <w:rFonts w:hint="eastAsia" w:ascii="宋体" w:hAnsi="宋体" w:cs="宋体"/>
                <w:color w:val="000000"/>
                <w:kern w:val="0"/>
                <w:szCs w:val="21"/>
                <w:lang w:bidi="ar"/>
              </w:rPr>
              <w:t>25</w:t>
            </w:r>
          </w:p>
        </w:tc>
        <w:tc>
          <w:tcPr>
            <w:tcW w:w="23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水面筋</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r>
              <w:rPr>
                <w:rFonts w:hint="eastAsia" w:ascii="宋体" w:hAnsi="宋体" w:cs="楷体"/>
                <w:kern w:val="0"/>
                <w:szCs w:val="21"/>
                <w:lang w:bidi="ar"/>
              </w:rPr>
              <w:t>面筋</w:t>
            </w:r>
          </w:p>
        </w:tc>
        <w:tc>
          <w:tcPr>
            <w:tcW w:w="784"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宋体" w:hAnsi="宋体" w:cs="楷体"/>
                <w:kern w:val="0"/>
                <w:szCs w:val="21"/>
                <w:lang w:bidi="ar"/>
              </w:rPr>
            </w:pPr>
            <w:r>
              <w:rPr>
                <w:rFonts w:hint="eastAsia" w:ascii="宋体" w:hAnsi="宋体" w:cs="宋体"/>
                <w:color w:val="000000"/>
                <w:kern w:val="0"/>
                <w:szCs w:val="21"/>
                <w:lang w:bidi="ar"/>
              </w:rPr>
              <w:t>50</w:t>
            </w:r>
          </w:p>
        </w:tc>
        <w:tc>
          <w:tcPr>
            <w:tcW w:w="2276"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茨菇</w:t>
            </w:r>
          </w:p>
        </w:tc>
        <w:tc>
          <w:tcPr>
            <w:tcW w:w="1532"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ascii="宋体" w:hAnsi="宋体" w:cs="楷体"/>
                <w:kern w:val="0"/>
                <w:szCs w:val="21"/>
                <w:lang w:bidi="ar"/>
              </w:rPr>
            </w:pPr>
          </w:p>
        </w:tc>
      </w:tr>
    </w:tbl>
    <w:p>
      <w:pPr>
        <w:autoSpaceDE w:val="0"/>
        <w:autoSpaceDN w:val="0"/>
        <w:adjustRightInd w:val="0"/>
        <w:spacing w:line="600" w:lineRule="exact"/>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可行性实施方案、项目重点难点分析、应急处理工作方案和预案、违约承诺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26</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45</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46</w:t>
    </w:r>
    <w:r>
      <w:fldChar w:fldCharType="end"/>
    </w:r>
  </w:p>
  <w:p>
    <w:pPr>
      <w:pStyle w:val="1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9CA"/>
    <w:rsid w:val="00085EB0"/>
    <w:rsid w:val="00086CF5"/>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56F6"/>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488F"/>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A740A"/>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04F"/>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1BC3"/>
    <w:rsid w:val="00843B86"/>
    <w:rsid w:val="00844865"/>
    <w:rsid w:val="0084558D"/>
    <w:rsid w:val="00846994"/>
    <w:rsid w:val="008472A0"/>
    <w:rsid w:val="00851700"/>
    <w:rsid w:val="008524EE"/>
    <w:rsid w:val="00855AAE"/>
    <w:rsid w:val="00856E4F"/>
    <w:rsid w:val="00864BB2"/>
    <w:rsid w:val="00866328"/>
    <w:rsid w:val="00867F53"/>
    <w:rsid w:val="00870291"/>
    <w:rsid w:val="00871D0F"/>
    <w:rsid w:val="00873097"/>
    <w:rsid w:val="00876FA7"/>
    <w:rsid w:val="00883A82"/>
    <w:rsid w:val="00885842"/>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475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5A49"/>
    <w:rsid w:val="009C0F12"/>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586F"/>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48A2"/>
    <w:rsid w:val="00BB534B"/>
    <w:rsid w:val="00BB5699"/>
    <w:rsid w:val="00BB6BDD"/>
    <w:rsid w:val="00BB6FA1"/>
    <w:rsid w:val="00BB7E9C"/>
    <w:rsid w:val="00BC5151"/>
    <w:rsid w:val="00BC5506"/>
    <w:rsid w:val="00BC5918"/>
    <w:rsid w:val="00BD4510"/>
    <w:rsid w:val="00BD47CE"/>
    <w:rsid w:val="00BD4FAF"/>
    <w:rsid w:val="00BD6EF6"/>
    <w:rsid w:val="00BE0E03"/>
    <w:rsid w:val="00BE157E"/>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161F"/>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3E10"/>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C7D"/>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0C2B"/>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18C3"/>
    <w:rsid w:val="00FE4425"/>
    <w:rsid w:val="00FE5130"/>
    <w:rsid w:val="00FE5C88"/>
    <w:rsid w:val="00FE63BE"/>
    <w:rsid w:val="00FF1A4F"/>
    <w:rsid w:val="00FF1BAC"/>
    <w:rsid w:val="00FF5421"/>
    <w:rsid w:val="00FF54F8"/>
    <w:rsid w:val="00FF58D9"/>
    <w:rsid w:val="00FF72E5"/>
    <w:rsid w:val="018A5D41"/>
    <w:rsid w:val="01E45FB7"/>
    <w:rsid w:val="02415C62"/>
    <w:rsid w:val="02872629"/>
    <w:rsid w:val="035058C7"/>
    <w:rsid w:val="035E0DBD"/>
    <w:rsid w:val="03F86B1C"/>
    <w:rsid w:val="04784D87"/>
    <w:rsid w:val="060317A8"/>
    <w:rsid w:val="07C35693"/>
    <w:rsid w:val="08BF40AC"/>
    <w:rsid w:val="08CE22D8"/>
    <w:rsid w:val="099A468B"/>
    <w:rsid w:val="0A875C10"/>
    <w:rsid w:val="0AF3628F"/>
    <w:rsid w:val="0B363250"/>
    <w:rsid w:val="0BE36D47"/>
    <w:rsid w:val="0C4C20FB"/>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99762A"/>
    <w:rsid w:val="13D6674E"/>
    <w:rsid w:val="13DD7ADC"/>
    <w:rsid w:val="146A5814"/>
    <w:rsid w:val="14BA3751"/>
    <w:rsid w:val="15172FC0"/>
    <w:rsid w:val="1530696F"/>
    <w:rsid w:val="16B25250"/>
    <w:rsid w:val="17391D92"/>
    <w:rsid w:val="17544085"/>
    <w:rsid w:val="1820443C"/>
    <w:rsid w:val="18431CDB"/>
    <w:rsid w:val="1EF651FF"/>
    <w:rsid w:val="1F262338"/>
    <w:rsid w:val="1F550AAE"/>
    <w:rsid w:val="21010D55"/>
    <w:rsid w:val="21D94E59"/>
    <w:rsid w:val="224156DA"/>
    <w:rsid w:val="230230BC"/>
    <w:rsid w:val="23984280"/>
    <w:rsid w:val="253B0B07"/>
    <w:rsid w:val="257449AC"/>
    <w:rsid w:val="2790205B"/>
    <w:rsid w:val="288D3427"/>
    <w:rsid w:val="28C54DCD"/>
    <w:rsid w:val="28CE4005"/>
    <w:rsid w:val="29F9354B"/>
    <w:rsid w:val="2A73489F"/>
    <w:rsid w:val="2C5C33A3"/>
    <w:rsid w:val="2CE455E0"/>
    <w:rsid w:val="2CF73A01"/>
    <w:rsid w:val="2E1524DD"/>
    <w:rsid w:val="2FFB2B28"/>
    <w:rsid w:val="301B0ADB"/>
    <w:rsid w:val="308B2942"/>
    <w:rsid w:val="32285F6F"/>
    <w:rsid w:val="3266677F"/>
    <w:rsid w:val="32ED521C"/>
    <w:rsid w:val="348F6779"/>
    <w:rsid w:val="36061271"/>
    <w:rsid w:val="360D3DFA"/>
    <w:rsid w:val="377939F2"/>
    <w:rsid w:val="38341B11"/>
    <w:rsid w:val="38AA5930"/>
    <w:rsid w:val="392626C6"/>
    <w:rsid w:val="3943735F"/>
    <w:rsid w:val="39965260"/>
    <w:rsid w:val="3A4D0C68"/>
    <w:rsid w:val="3B003F2D"/>
    <w:rsid w:val="3B724A7B"/>
    <w:rsid w:val="3EA347C1"/>
    <w:rsid w:val="3EDD5BC4"/>
    <w:rsid w:val="40384169"/>
    <w:rsid w:val="40B04500"/>
    <w:rsid w:val="40CA3013"/>
    <w:rsid w:val="427B5168"/>
    <w:rsid w:val="42870A90"/>
    <w:rsid w:val="42C13A9F"/>
    <w:rsid w:val="43076514"/>
    <w:rsid w:val="444F1F4F"/>
    <w:rsid w:val="447F7AC2"/>
    <w:rsid w:val="44A1236F"/>
    <w:rsid w:val="44F22F67"/>
    <w:rsid w:val="456B4496"/>
    <w:rsid w:val="493F377B"/>
    <w:rsid w:val="49AA1C33"/>
    <w:rsid w:val="4C9F589F"/>
    <w:rsid w:val="4D1E40A2"/>
    <w:rsid w:val="4DD04FF2"/>
    <w:rsid w:val="4DE01544"/>
    <w:rsid w:val="4E824F2D"/>
    <w:rsid w:val="4EDE7C89"/>
    <w:rsid w:val="4F6603AB"/>
    <w:rsid w:val="50B74C36"/>
    <w:rsid w:val="51D27F79"/>
    <w:rsid w:val="52F77B3F"/>
    <w:rsid w:val="54824DEE"/>
    <w:rsid w:val="54F86141"/>
    <w:rsid w:val="54F95756"/>
    <w:rsid w:val="553C7B08"/>
    <w:rsid w:val="562A45DB"/>
    <w:rsid w:val="564F41DF"/>
    <w:rsid w:val="565E6B78"/>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F4B3119"/>
    <w:rsid w:val="5FE86BBA"/>
    <w:rsid w:val="61C0584D"/>
    <w:rsid w:val="62145A58"/>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ECD2F0D"/>
    <w:rsid w:val="6F1108E1"/>
    <w:rsid w:val="6FCC4427"/>
    <w:rsid w:val="7064403B"/>
    <w:rsid w:val="706606E2"/>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4FE5F7A"/>
    <w:rsid w:val="769D2054"/>
    <w:rsid w:val="76FB4FCD"/>
    <w:rsid w:val="775D3592"/>
    <w:rsid w:val="782642CC"/>
    <w:rsid w:val="784F06F1"/>
    <w:rsid w:val="786F3453"/>
    <w:rsid w:val="7895739C"/>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qFormat/>
    <w:uiPriority w:val="99"/>
    <w:pPr>
      <w:autoSpaceDE w:val="0"/>
      <w:autoSpaceDN w:val="0"/>
      <w:adjustRightInd w:val="0"/>
      <w:jc w:val="left"/>
      <w:outlineLvl w:val="2"/>
    </w:pPr>
    <w:rPr>
      <w:kern w:val="0"/>
      <w:sz w:val="24"/>
      <w:szCs w:val="24"/>
    </w:rPr>
  </w:style>
  <w:style w:type="paragraph" w:styleId="5">
    <w:name w:val="heading 4"/>
    <w:basedOn w:val="1"/>
    <w:next w:val="1"/>
    <w:link w:val="24"/>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D565-3663-4E51-88B8-7D323A12A9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19755</Words>
  <Characters>21082</Characters>
  <Lines>180</Lines>
  <Paragraphs>50</Paragraphs>
  <TotalTime>2</TotalTime>
  <ScaleCrop>false</ScaleCrop>
  <LinksUpToDate>false</LinksUpToDate>
  <CharactersWithSpaces>23862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2024-07-12T07:51:19Z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2F265E5BC3C44C1D913AC05D2C661983_13</vt:lpwstr>
  </property>
</Properties>
</file>